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0997E" w14:textId="77777777" w:rsidR="00A16050" w:rsidRDefault="00A16050" w:rsidP="00A8225A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  <w:r w:rsidRPr="00A16050">
        <w:rPr>
          <w:rFonts w:ascii="Arial" w:eastAsia="Times New Roman" w:hAnsi="Arial" w:cs="Arial"/>
          <w:iCs/>
          <w:noProof/>
          <w:color w:val="000000"/>
          <w:sz w:val="28"/>
          <w:szCs w:val="28"/>
        </w:rPr>
        <w:drawing>
          <wp:inline distT="0" distB="0" distL="0" distR="0" wp14:anchorId="1BCDE0B8" wp14:editId="7D919535">
            <wp:extent cx="5943600" cy="898218"/>
            <wp:effectExtent l="0" t="0" r="0" b="0"/>
            <wp:docPr id="1" name="Picture 1" descr="Helen Keller National Center for DeafBlind Youths and Adults" title="HKN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IRPD\ALLISON\LOGOS\HKNC Official Logo\21-7 HKNC DeafBlind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8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05E5C" w14:textId="77777777" w:rsidR="00A16050" w:rsidRDefault="00A16050" w:rsidP="00A8225A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</w:p>
    <w:p w14:paraId="622AAEBC" w14:textId="0F2D569C" w:rsidR="00445E4F" w:rsidRDefault="00A16050" w:rsidP="00A8225A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</w:p>
    <w:p w14:paraId="57AF774C" w14:textId="4485275B" w:rsidR="00172EA4" w:rsidRPr="005D76C3" w:rsidRDefault="008D7456" w:rsidP="005D76C3">
      <w:pPr>
        <w:pStyle w:val="Title"/>
      </w:pPr>
      <w:r w:rsidRPr="00D73CD8">
        <w:t xml:space="preserve">Individuals with </w:t>
      </w:r>
      <w:r w:rsidR="00E118B4" w:rsidRPr="00D73CD8">
        <w:t>C</w:t>
      </w:r>
      <w:r w:rsidR="00B945E9" w:rsidRPr="00D73CD8">
        <w:t>ombined</w:t>
      </w:r>
      <w:r w:rsidRPr="00D73CD8">
        <w:t xml:space="preserve"> Hearing and Vision </w:t>
      </w:r>
      <w:r w:rsidR="00172EA4">
        <w:t xml:space="preserve">Loss: Data from the American Community </w:t>
      </w:r>
      <w:r w:rsidR="00E2756C" w:rsidRPr="00D73CD8">
        <w:t>Survey (</w:t>
      </w:r>
      <w:r w:rsidR="004A7E6E" w:rsidRPr="00D73CD8">
        <w:t>2019)</w:t>
      </w:r>
    </w:p>
    <w:p w14:paraId="3E5B762B" w14:textId="0AF1F1E5" w:rsidR="007E5A71" w:rsidRPr="00D73CD8" w:rsidRDefault="00E227FD" w:rsidP="00D73CD8">
      <w:pPr>
        <w:pStyle w:val="Heading1"/>
      </w:pPr>
      <w:r>
        <w:t>Source and Population</w:t>
      </w:r>
    </w:p>
    <w:p w14:paraId="784FD3DA" w14:textId="77777777" w:rsidR="003171D5" w:rsidRDefault="003171D5" w:rsidP="00A8225A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</w:p>
    <w:p w14:paraId="551F00C2" w14:textId="2A1F0C99" w:rsidR="0022250C" w:rsidRDefault="005F669E" w:rsidP="007E5A71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  <w:r>
        <w:rPr>
          <w:rFonts w:ascii="Arial" w:eastAsia="Times New Roman" w:hAnsi="Arial" w:cs="Arial"/>
          <w:iCs/>
          <w:color w:val="000000"/>
          <w:sz w:val="28"/>
          <w:szCs w:val="28"/>
        </w:rPr>
        <w:t>Source</w:t>
      </w:r>
      <w:r w:rsidR="00C63184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: </w:t>
      </w:r>
      <w:r w:rsidR="00445E4F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Summaries created by Megan Conway, </w:t>
      </w:r>
      <w:r w:rsidR="00CA574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Research and Accessibility Specialist, Helen Keller National Center for DeafBlind Youths and Adults, </w:t>
      </w:r>
      <w:hyperlink r:id="rId5" w:history="1">
        <w:r w:rsidR="00445E4F" w:rsidRPr="00F5146A">
          <w:rPr>
            <w:rStyle w:val="Hyperlink"/>
            <w:rFonts w:ascii="Arial" w:eastAsia="Times New Roman" w:hAnsi="Arial" w:cs="Arial"/>
            <w:iCs/>
            <w:sz w:val="28"/>
            <w:szCs w:val="28"/>
          </w:rPr>
          <w:t>megan.conway@hknc.org</w:t>
        </w:r>
      </w:hyperlink>
      <w:r w:rsidR="00603DE4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, </w:t>
      </w:r>
      <w:r w:rsidR="008D2177">
        <w:rPr>
          <w:rFonts w:ascii="Arial" w:eastAsia="Times New Roman" w:hAnsi="Arial" w:cs="Arial"/>
          <w:iCs/>
          <w:color w:val="000000"/>
          <w:sz w:val="28"/>
          <w:szCs w:val="28"/>
        </w:rPr>
        <w:t>updated June 24, 2021</w:t>
      </w:r>
      <w:r w:rsidR="00445E4F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. </w:t>
      </w:r>
      <w:r w:rsidR="008D2177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Contact Megan for information about the data presented in these summaries or for additional data requests. </w:t>
      </w:r>
      <w:r w:rsidR="007E5A71">
        <w:rPr>
          <w:rFonts w:ascii="Arial" w:eastAsia="Times New Roman" w:hAnsi="Arial" w:cs="Arial"/>
          <w:iCs/>
          <w:color w:val="000000"/>
          <w:sz w:val="28"/>
          <w:szCs w:val="28"/>
        </w:rPr>
        <w:t>Based on</w:t>
      </w:r>
      <w:r w:rsidR="007E5A71" w:rsidRPr="007E5A71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data compiled </w:t>
      </w:r>
      <w:r w:rsidR="00C63184">
        <w:rPr>
          <w:rFonts w:ascii="Arial" w:eastAsia="Times New Roman" w:hAnsi="Arial" w:cs="Arial"/>
          <w:iCs/>
          <w:color w:val="000000"/>
          <w:sz w:val="28"/>
          <w:szCs w:val="28"/>
        </w:rPr>
        <w:t>March</w:t>
      </w:r>
      <w:r w:rsidR="00465031">
        <w:rPr>
          <w:rFonts w:ascii="Arial" w:eastAsia="Times New Roman" w:hAnsi="Arial" w:cs="Arial"/>
          <w:iCs/>
          <w:color w:val="000000"/>
          <w:sz w:val="28"/>
          <w:szCs w:val="28"/>
        </w:rPr>
        <w:t>/April</w:t>
      </w:r>
      <w:r w:rsidR="00C63184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, 2021 </w:t>
      </w:r>
      <w:r w:rsidR="007E5A71" w:rsidRPr="007E5A71">
        <w:rPr>
          <w:rFonts w:ascii="Arial" w:eastAsia="Times New Roman" w:hAnsi="Arial" w:cs="Arial"/>
          <w:iCs/>
          <w:color w:val="000000"/>
          <w:sz w:val="28"/>
          <w:szCs w:val="28"/>
        </w:rPr>
        <w:t>by Mari</w:t>
      </w:r>
      <w:r w:rsidR="007E5A71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sa Rafal and Megan Henly of the </w:t>
      </w:r>
      <w:r w:rsidR="007E5A71" w:rsidRPr="007E5A71">
        <w:rPr>
          <w:rFonts w:ascii="Arial" w:eastAsia="Times New Roman" w:hAnsi="Arial" w:cs="Arial"/>
          <w:iCs/>
          <w:color w:val="000000"/>
          <w:sz w:val="28"/>
          <w:szCs w:val="28"/>
        </w:rPr>
        <w:t>University of New Hampshire's Institute on Disability</w:t>
      </w:r>
      <w:r w:rsidR="00C63184">
        <w:rPr>
          <w:rFonts w:ascii="Arial" w:eastAsia="Times New Roman" w:hAnsi="Arial" w:cs="Arial"/>
          <w:iCs/>
          <w:color w:val="000000"/>
          <w:sz w:val="28"/>
          <w:szCs w:val="28"/>
        </w:rPr>
        <w:t>.</w:t>
      </w:r>
      <w:r w:rsidR="00543C9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P</w:t>
      </w:r>
      <w:r w:rsidR="00C63184">
        <w:rPr>
          <w:rFonts w:ascii="Arial" w:eastAsia="Times New Roman" w:hAnsi="Arial" w:cs="Arial"/>
          <w:iCs/>
          <w:color w:val="000000"/>
          <w:sz w:val="28"/>
          <w:szCs w:val="28"/>
        </w:rPr>
        <w:t>ercentage comparisons</w:t>
      </w:r>
      <w:r w:rsidR="00C63184" w:rsidRPr="00C63184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significant at the p&lt;.0001</w:t>
      </w:r>
      <w:r w:rsidR="00C63184">
        <w:rPr>
          <w:rFonts w:ascii="Arial" w:eastAsia="Times New Roman" w:hAnsi="Arial" w:cs="Arial"/>
          <w:iCs/>
          <w:color w:val="000000"/>
          <w:sz w:val="28"/>
          <w:szCs w:val="28"/>
        </w:rPr>
        <w:t>.</w:t>
      </w:r>
      <w:r w:rsidR="00CA574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Extracted from </w:t>
      </w:r>
      <w:r w:rsidR="007E5A71" w:rsidRPr="007E5A71">
        <w:rPr>
          <w:rFonts w:ascii="Arial" w:eastAsia="Times New Roman" w:hAnsi="Arial" w:cs="Arial"/>
          <w:iCs/>
          <w:color w:val="000000"/>
          <w:sz w:val="28"/>
          <w:szCs w:val="28"/>
        </w:rPr>
        <w:t>the American Community Survey 2019 5-year and 1-year data, via IPUMS at the University of Minnesota</w:t>
      </w:r>
      <w:r w:rsidR="00445E4F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. </w:t>
      </w:r>
    </w:p>
    <w:p w14:paraId="2A619C20" w14:textId="7DAF434D" w:rsidR="005F669E" w:rsidRDefault="005F669E" w:rsidP="007E5A71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</w:p>
    <w:p w14:paraId="47B5CC58" w14:textId="257FF733" w:rsidR="005F669E" w:rsidRDefault="00E227FD" w:rsidP="005F669E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  <w:r>
        <w:rPr>
          <w:rFonts w:ascii="Arial" w:eastAsia="Times New Roman" w:hAnsi="Arial" w:cs="Arial"/>
          <w:iCs/>
          <w:color w:val="000000"/>
          <w:sz w:val="28"/>
          <w:szCs w:val="28"/>
        </w:rPr>
        <w:t>Population</w:t>
      </w:r>
      <w:r w:rsidR="005D1DA5">
        <w:rPr>
          <w:rFonts w:ascii="Arial" w:eastAsia="Times New Roman" w:hAnsi="Arial" w:cs="Arial"/>
          <w:iCs/>
          <w:color w:val="000000"/>
          <w:sz w:val="28"/>
          <w:szCs w:val="28"/>
        </w:rPr>
        <w:t>:</w:t>
      </w:r>
      <w:r w:rsidR="008D7456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A person with “combined</w:t>
      </w:r>
      <w:r w:rsidR="009F1772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hearing and vision</w:t>
      </w:r>
      <w:r w:rsidR="00024FC6">
        <w:rPr>
          <w:rFonts w:ascii="Arial" w:eastAsia="Times New Roman" w:hAnsi="Arial" w:cs="Arial"/>
          <w:iCs/>
          <w:color w:val="000000"/>
          <w:sz w:val="28"/>
          <w:szCs w:val="28"/>
        </w:rPr>
        <w:t>/dual sensory</w:t>
      </w:r>
      <w:r w:rsidR="005D1DA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loss</w:t>
      </w:r>
      <w:r w:rsidR="004E6551">
        <w:rPr>
          <w:rFonts w:ascii="Arial" w:eastAsia="Times New Roman" w:hAnsi="Arial" w:cs="Arial"/>
          <w:iCs/>
          <w:color w:val="000000"/>
          <w:sz w:val="28"/>
          <w:szCs w:val="28"/>
        </w:rPr>
        <w:t>,</w:t>
      </w:r>
      <w:r w:rsidR="005F669E">
        <w:rPr>
          <w:rFonts w:ascii="Arial" w:eastAsia="Times New Roman" w:hAnsi="Arial" w:cs="Arial"/>
          <w:iCs/>
          <w:color w:val="000000"/>
          <w:sz w:val="28"/>
          <w:szCs w:val="28"/>
        </w:rPr>
        <w:t>” for the purposes o</w:t>
      </w:r>
      <w:r w:rsidR="00DB70E7">
        <w:rPr>
          <w:rFonts w:ascii="Arial" w:eastAsia="Times New Roman" w:hAnsi="Arial" w:cs="Arial"/>
          <w:iCs/>
          <w:color w:val="000000"/>
          <w:sz w:val="28"/>
          <w:szCs w:val="28"/>
        </w:rPr>
        <w:t>f these data summaries</w:t>
      </w:r>
      <w:r w:rsidR="004E6551">
        <w:rPr>
          <w:rFonts w:ascii="Arial" w:eastAsia="Times New Roman" w:hAnsi="Arial" w:cs="Arial"/>
          <w:iCs/>
          <w:color w:val="000000"/>
          <w:sz w:val="28"/>
          <w:szCs w:val="28"/>
        </w:rPr>
        <w:t>,</w:t>
      </w:r>
      <w:r w:rsidR="00DB70E7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refer</w:t>
      </w:r>
      <w:r w:rsidR="007C2DA4">
        <w:rPr>
          <w:rFonts w:ascii="Arial" w:eastAsia="Times New Roman" w:hAnsi="Arial" w:cs="Arial"/>
          <w:iCs/>
          <w:color w:val="000000"/>
          <w:sz w:val="28"/>
          <w:szCs w:val="28"/>
        </w:rPr>
        <w:t>s</w:t>
      </w:r>
      <w:r w:rsidR="005F669E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to people who self-reported “yes” on the American Community Survey to BOTH of the following questions: (1) </w:t>
      </w:r>
      <w:r w:rsidR="005F669E" w:rsidRPr="005F669E">
        <w:rPr>
          <w:rFonts w:ascii="Arial" w:eastAsia="Times New Roman" w:hAnsi="Arial" w:cs="Arial"/>
          <w:iCs/>
          <w:color w:val="000000"/>
          <w:sz w:val="28"/>
          <w:szCs w:val="28"/>
        </w:rPr>
        <w:t>Is this person deaf or does he/she h</w:t>
      </w:r>
      <w:r w:rsidR="005F669E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ave serious difficulty hearing? (2) </w:t>
      </w:r>
      <w:r w:rsidR="005F669E" w:rsidRPr="005F669E">
        <w:rPr>
          <w:rFonts w:ascii="Arial" w:eastAsia="Times New Roman" w:hAnsi="Arial" w:cs="Arial"/>
          <w:iCs/>
          <w:color w:val="000000"/>
          <w:sz w:val="28"/>
          <w:szCs w:val="28"/>
        </w:rPr>
        <w:t>Is this person blind or does he/she have serious difficulty seeing even when wearing glasses?</w:t>
      </w:r>
      <w:r w:rsidR="005F669E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5D1DA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This may include individuals wh</w:t>
      </w:r>
      <w:r w:rsidR="00B945E9">
        <w:rPr>
          <w:rFonts w:ascii="Arial" w:eastAsia="Times New Roman" w:hAnsi="Arial" w:cs="Arial"/>
          <w:iCs/>
          <w:color w:val="000000"/>
          <w:sz w:val="28"/>
          <w:szCs w:val="28"/>
        </w:rPr>
        <w:t>o would be considered</w:t>
      </w:r>
      <w:r w:rsidR="005D1DA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B945E9">
        <w:rPr>
          <w:rFonts w:ascii="Arial" w:eastAsia="Times New Roman" w:hAnsi="Arial" w:cs="Arial"/>
          <w:iCs/>
          <w:color w:val="000000"/>
          <w:sz w:val="28"/>
          <w:szCs w:val="28"/>
        </w:rPr>
        <w:t>DeafBlind</w:t>
      </w:r>
      <w:r w:rsidR="005D1DA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B945E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under federal guidelines </w:t>
      </w:r>
      <w:r w:rsidR="005D1DA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as well as other individuals </w:t>
      </w:r>
      <w:r w:rsidR="008D7456">
        <w:rPr>
          <w:rFonts w:ascii="Arial" w:eastAsia="Times New Roman" w:hAnsi="Arial" w:cs="Arial"/>
          <w:iCs/>
          <w:color w:val="000000"/>
          <w:sz w:val="28"/>
          <w:szCs w:val="28"/>
        </w:rPr>
        <w:t>with both significant</w:t>
      </w:r>
      <w:r w:rsidR="005D1DA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hearing </w:t>
      </w:r>
      <w:r w:rsidR="008D7456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and vision </w:t>
      </w:r>
      <w:r w:rsidR="005D1DA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loss. </w:t>
      </w:r>
    </w:p>
    <w:p w14:paraId="6C2E2006" w14:textId="688A298B" w:rsidR="0022250C" w:rsidRDefault="0022250C" w:rsidP="00D73CD8">
      <w:pPr>
        <w:pStyle w:val="Heading1"/>
      </w:pPr>
      <w:r>
        <w:t>General</w:t>
      </w:r>
    </w:p>
    <w:p w14:paraId="35E3842A" w14:textId="745204A3" w:rsidR="0022250C" w:rsidRDefault="0022250C" w:rsidP="00A8225A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</w:p>
    <w:p w14:paraId="0988E910" w14:textId="172FB168" w:rsidR="0022250C" w:rsidRDefault="0022250C" w:rsidP="0022250C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According to data collected from the 2019 </w:t>
      </w:r>
      <w:r w:rsidRPr="00A8225A">
        <w:rPr>
          <w:rFonts w:ascii="Arial" w:eastAsia="Times New Roman" w:hAnsi="Arial" w:cs="Arial"/>
          <w:iCs/>
          <w:color w:val="000000"/>
          <w:sz w:val="28"/>
          <w:szCs w:val="28"/>
        </w:rPr>
        <w:t>American Community Survey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(ACS)</w:t>
      </w:r>
      <w:r w:rsidRPr="00A8225A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, 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>approximately 2.47 million Americans</w:t>
      </w:r>
      <w:r w:rsidR="00DB70E7">
        <w:rPr>
          <w:rFonts w:ascii="Arial" w:eastAsia="Times New Roman" w:hAnsi="Arial" w:cs="Arial"/>
          <w:iCs/>
          <w:color w:val="000000"/>
          <w:sz w:val="28"/>
          <w:szCs w:val="28"/>
        </w:rPr>
        <w:t>, or 0.75% of the population,</w:t>
      </w:r>
      <w:r w:rsidR="008D7456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have combined</w:t>
      </w:r>
      <w:r w:rsidR="009F1772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hearing and vision loss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. </w:t>
      </w:r>
      <w:r w:rsidR="00DB70E7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This number 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>has remained fairly consistent over the past10 years.</w:t>
      </w:r>
    </w:p>
    <w:p w14:paraId="6E26008F" w14:textId="77777777" w:rsidR="004A7E6E" w:rsidRDefault="004A7E6E" w:rsidP="00A8225A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</w:p>
    <w:p w14:paraId="45D66D7B" w14:textId="7C10FBA4" w:rsidR="00577A84" w:rsidRDefault="00577A84" w:rsidP="00D73CD8">
      <w:pPr>
        <w:pStyle w:val="Heading1"/>
      </w:pPr>
      <w:r>
        <w:lastRenderedPageBreak/>
        <w:t>By State</w:t>
      </w:r>
    </w:p>
    <w:p w14:paraId="3292BDFC" w14:textId="428F4CAE" w:rsidR="00577A84" w:rsidRDefault="00577A84" w:rsidP="00A8225A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</w:p>
    <w:p w14:paraId="5FB51F84" w14:textId="38BB72B7" w:rsidR="000F4EA7" w:rsidRDefault="000F4EA7" w:rsidP="000F4EA7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There are some differences in the </w:t>
      </w:r>
      <w:r w:rsidR="00DB70E7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prevalence of </w:t>
      </w:r>
      <w:r w:rsidR="008D6F7D">
        <w:rPr>
          <w:rFonts w:ascii="Arial" w:eastAsia="Times New Roman" w:hAnsi="Arial" w:cs="Arial"/>
          <w:iCs/>
          <w:color w:val="000000"/>
          <w:sz w:val="28"/>
          <w:szCs w:val="28"/>
        </w:rPr>
        <w:t>a dual sen</w:t>
      </w:r>
      <w:r w:rsidR="00A16050">
        <w:rPr>
          <w:rFonts w:ascii="Arial" w:eastAsia="Times New Roman" w:hAnsi="Arial" w:cs="Arial"/>
          <w:iCs/>
          <w:color w:val="000000"/>
          <w:sz w:val="28"/>
          <w:szCs w:val="28"/>
        </w:rPr>
        <w:t>so</w:t>
      </w:r>
      <w:r w:rsidR="008D6F7D">
        <w:rPr>
          <w:rFonts w:ascii="Arial" w:eastAsia="Times New Roman" w:hAnsi="Arial" w:cs="Arial"/>
          <w:iCs/>
          <w:color w:val="000000"/>
          <w:sz w:val="28"/>
          <w:szCs w:val="28"/>
        </w:rPr>
        <w:t>ry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loss</w:t>
      </w:r>
      <w:r w:rsidR="00DB70E7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by s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>tate</w:t>
      </w:r>
      <w:r w:rsidR="00DB70E7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in the United States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. </w:t>
      </w:r>
      <w:r w:rsidR="00784F26">
        <w:rPr>
          <w:rFonts w:ascii="Arial" w:eastAsia="Times New Roman" w:hAnsi="Arial" w:cs="Arial"/>
          <w:iCs/>
          <w:color w:val="000000"/>
          <w:sz w:val="28"/>
          <w:szCs w:val="28"/>
        </w:rPr>
        <w:t>From 2015-2019 t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>he states with</w:t>
      </w:r>
      <w:r w:rsidR="00520CFE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the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highest r</w:t>
      </w:r>
      <w:r w:rsidRPr="00024367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eported prevalence of </w:t>
      </w:r>
      <w:r w:rsidR="00B945E9" w:rsidRPr="00024367">
        <w:rPr>
          <w:rFonts w:ascii="Arial" w:eastAsia="Times New Roman" w:hAnsi="Arial" w:cs="Arial"/>
          <w:iCs/>
          <w:color w:val="000000"/>
          <w:sz w:val="28"/>
          <w:szCs w:val="28"/>
        </w:rPr>
        <w:t>c</w:t>
      </w:r>
      <w:r w:rsidR="00FE1B28" w:rsidRPr="00024367">
        <w:rPr>
          <w:rFonts w:ascii="Arial" w:eastAsia="Times New Roman" w:hAnsi="Arial" w:cs="Arial"/>
          <w:iCs/>
          <w:color w:val="000000"/>
          <w:sz w:val="28"/>
          <w:szCs w:val="28"/>
        </w:rPr>
        <w:t>ombined hearing and vision loss</w:t>
      </w:r>
      <w:r w:rsidR="00A16050" w:rsidRPr="00024367">
        <w:rPr>
          <w:rFonts w:ascii="Arial" w:eastAsia="Times New Roman" w:hAnsi="Arial" w:cs="Arial"/>
          <w:iCs/>
          <w:color w:val="000000"/>
          <w:sz w:val="28"/>
          <w:szCs w:val="28"/>
        </w:rPr>
        <w:t>,</w:t>
      </w:r>
      <w:r w:rsidRPr="00024367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where prevalence is greater </w:t>
      </w:r>
      <w:r w:rsidR="004204FD" w:rsidRPr="00024367">
        <w:rPr>
          <w:rFonts w:ascii="Arial" w:eastAsia="Times New Roman" w:hAnsi="Arial" w:cs="Arial"/>
          <w:iCs/>
          <w:color w:val="000000"/>
          <w:sz w:val="28"/>
          <w:szCs w:val="28"/>
        </w:rPr>
        <w:t>than</w:t>
      </w:r>
      <w:r w:rsidRPr="00024367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1%</w:t>
      </w:r>
      <w:r w:rsidR="00520CFE" w:rsidRPr="00024367">
        <w:rPr>
          <w:rFonts w:ascii="Arial" w:eastAsia="Times New Roman" w:hAnsi="Arial" w:cs="Arial"/>
          <w:iCs/>
          <w:color w:val="000000"/>
          <w:sz w:val="28"/>
          <w:szCs w:val="28"/>
        </w:rPr>
        <w:t>,</w:t>
      </w:r>
      <w:r w:rsidRPr="00024367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are </w:t>
      </w:r>
      <w:r w:rsidR="00520CFE" w:rsidRPr="00024367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West Virginia (1.61%), New Mexico </w:t>
      </w:r>
      <w:r w:rsidR="00520CFE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(1.35%), Oklahoma (1.25%), </w:t>
      </w:r>
      <w:r w:rsidRPr="008C5F79">
        <w:rPr>
          <w:rFonts w:ascii="Arial" w:eastAsia="Times New Roman" w:hAnsi="Arial" w:cs="Arial"/>
          <w:iCs/>
          <w:color w:val="000000"/>
          <w:sz w:val="28"/>
          <w:szCs w:val="28"/>
        </w:rPr>
        <w:t>Kentucky (1.24%)</w:t>
      </w:r>
      <w:r w:rsidR="00520CFE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>,</w:t>
      </w:r>
      <w:r w:rsidRPr="008C5F7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Nevada (1.21%)</w:t>
      </w:r>
      <w:r w:rsidR="00520CFE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>,</w:t>
      </w:r>
      <w:r w:rsidRPr="008C5F7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Arkansas (1.19</w:t>
      </w:r>
      <w:r w:rsidR="004204FD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>%), Mississippi</w:t>
      </w:r>
      <w:r w:rsidRPr="008C5F7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(1.13%)</w:t>
      </w:r>
      <w:r w:rsidR="00520CFE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and Tennessee (1.01%)</w:t>
      </w:r>
      <w:r w:rsidRPr="008C5F7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. The states with the lowest reported prevalence of </w:t>
      </w:r>
      <w:r w:rsidR="00B945E9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>c</w:t>
      </w:r>
      <w:r w:rsidR="00FE1B28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>ombined hearing and vision loss</w:t>
      </w:r>
      <w:r w:rsidR="00520CFE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>,</w:t>
      </w:r>
      <w:r w:rsidRPr="008C5F7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where prevalence </w:t>
      </w:r>
      <w:r w:rsidR="00520CFE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>is less</w:t>
      </w:r>
      <w:r w:rsidRPr="008C5F7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4204FD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>than</w:t>
      </w:r>
      <w:r w:rsidR="00520CFE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0.6%,</w:t>
      </w:r>
      <w:r w:rsidRPr="008C5F7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are</w:t>
      </w:r>
      <w:r w:rsidR="00520CFE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FF0E55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Utah (0.5%), </w:t>
      </w:r>
      <w:r w:rsidR="00B948A8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>Delaware (0.52%)</w:t>
      </w:r>
      <w:r w:rsidR="00FF0E55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>,</w:t>
      </w:r>
      <w:r w:rsidR="00B948A8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Washington D.C. (0.54%)</w:t>
      </w:r>
      <w:r w:rsidR="00FF0E55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>,</w:t>
      </w:r>
      <w:r w:rsidR="00B948A8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Maryland (0.54%)</w:t>
      </w:r>
      <w:r w:rsidR="00FF0E55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>,</w:t>
      </w:r>
      <w:r w:rsidR="00B948A8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FF0E55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Minnesota (0.57%), </w:t>
      </w:r>
      <w:r w:rsidR="00B948A8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>Connecticut (0.58%)</w:t>
      </w:r>
      <w:r w:rsidR="00FF0E55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4204FD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>and New</w:t>
      </w:r>
      <w:r w:rsidR="00FF0E55" w:rsidRPr="008C5F7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Jersey (0.58%).</w:t>
      </w:r>
    </w:p>
    <w:p w14:paraId="42F06349" w14:textId="018073CF" w:rsidR="00384934" w:rsidRDefault="00384934" w:rsidP="00D73CD8">
      <w:pPr>
        <w:pStyle w:val="Heading1"/>
      </w:pPr>
      <w:r>
        <w:t>Seniors</w:t>
      </w:r>
    </w:p>
    <w:p w14:paraId="1B1DD2BF" w14:textId="77777777" w:rsidR="00384934" w:rsidRDefault="00384934" w:rsidP="00A8225A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</w:p>
    <w:p w14:paraId="622A9A17" w14:textId="3D4E4676" w:rsidR="00A8225A" w:rsidRPr="00A8225A" w:rsidRDefault="00DB70E7" w:rsidP="00A8225A">
      <w:pPr>
        <w:rPr>
          <w:rFonts w:eastAsia="Times New Roman"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8"/>
          <w:szCs w:val="28"/>
        </w:rPr>
        <w:t>A</w:t>
      </w:r>
      <w:r w:rsidRPr="00A8225A">
        <w:rPr>
          <w:rFonts w:ascii="Arial" w:eastAsia="Times New Roman" w:hAnsi="Arial" w:cs="Arial"/>
          <w:iCs/>
          <w:color w:val="000000"/>
          <w:sz w:val="28"/>
          <w:szCs w:val="28"/>
        </w:rPr>
        <w:t>du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>lts who are 6</w:t>
      </w:r>
      <w:r w:rsidRPr="00A8225A">
        <w:rPr>
          <w:rFonts w:ascii="Arial" w:eastAsia="Times New Roman" w:hAnsi="Arial" w:cs="Arial"/>
          <w:iCs/>
          <w:color w:val="000000"/>
          <w:sz w:val="28"/>
          <w:szCs w:val="28"/>
        </w:rPr>
        <w:t>5 and o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lder are the largest population </w:t>
      </w:r>
      <w:r w:rsidR="005D1DA5">
        <w:rPr>
          <w:rFonts w:ascii="Arial" w:eastAsia="Times New Roman" w:hAnsi="Arial" w:cs="Arial"/>
          <w:iCs/>
          <w:color w:val="000000"/>
          <w:sz w:val="28"/>
          <w:szCs w:val="28"/>
        </w:rPr>
        <w:t>of i</w:t>
      </w:r>
      <w:r w:rsidR="008D7456">
        <w:rPr>
          <w:rFonts w:ascii="Arial" w:eastAsia="Times New Roman" w:hAnsi="Arial" w:cs="Arial"/>
          <w:iCs/>
          <w:color w:val="000000"/>
          <w:sz w:val="28"/>
          <w:szCs w:val="28"/>
        </w:rPr>
        <w:t>ndividuals who have combined</w:t>
      </w:r>
      <w:r w:rsidR="009F1772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hearing and vision</w:t>
      </w:r>
      <w:r w:rsidR="005D1DA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loss</w:t>
      </w:r>
      <w:r w:rsidRPr="00A8225A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in the United States</w:t>
      </w:r>
      <w:r w:rsidR="00543C9D">
        <w:rPr>
          <w:rFonts w:ascii="Arial" w:eastAsia="Times New Roman" w:hAnsi="Arial" w:cs="Arial"/>
          <w:iCs/>
          <w:color w:val="000000"/>
          <w:sz w:val="28"/>
          <w:szCs w:val="28"/>
        </w:rPr>
        <w:t>.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C42980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Seniors over the 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>age of 65</w:t>
      </w:r>
      <w:r w:rsidR="005D1DA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represent 63% of the 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>population</w:t>
      </w:r>
      <w:r w:rsidR="008D7456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with </w:t>
      </w:r>
      <w:r w:rsidR="008D6F7D">
        <w:rPr>
          <w:rFonts w:ascii="Arial" w:eastAsia="Times New Roman" w:hAnsi="Arial" w:cs="Arial"/>
          <w:iCs/>
          <w:color w:val="000000"/>
          <w:sz w:val="28"/>
          <w:szCs w:val="28"/>
        </w:rPr>
        <w:t>a dual sensory</w:t>
      </w:r>
      <w:r w:rsidR="005D1DA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loss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>,</w:t>
      </w:r>
      <w:r w:rsidR="00C42980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twice as much as adults aged18-64.</w:t>
      </w:r>
      <w:r w:rsidR="00A8225A" w:rsidRPr="00A8225A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</w:p>
    <w:p w14:paraId="48CE9170" w14:textId="37E76D78" w:rsidR="00AC0863" w:rsidRDefault="00B2281D" w:rsidP="00D73CD8">
      <w:pPr>
        <w:pStyle w:val="Heading1"/>
      </w:pPr>
      <w:r>
        <w:t>Race/Ethnicity</w:t>
      </w:r>
    </w:p>
    <w:p w14:paraId="37AE5C6A" w14:textId="77777777" w:rsidR="00AC0863" w:rsidRDefault="00AC0863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</w:p>
    <w:p w14:paraId="4E6FCE10" w14:textId="5093ED3C" w:rsidR="00AC0863" w:rsidRDefault="00DB70E7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Data collected by the ACS on race/ethnicity when correlated with data on </w:t>
      </w:r>
      <w:r w:rsidR="00B945E9">
        <w:rPr>
          <w:rFonts w:ascii="Arial" w:eastAsia="Times New Roman" w:hAnsi="Arial" w:cs="Arial"/>
          <w:iCs/>
          <w:color w:val="000000"/>
          <w:sz w:val="28"/>
          <w:szCs w:val="28"/>
        </w:rPr>
        <w:t>combined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hearing and vision loss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suggests that there may be discrepancies in either the prevalence and/or reporting of </w:t>
      </w:r>
      <w:r w:rsidR="00B945E9">
        <w:rPr>
          <w:rFonts w:ascii="Arial" w:eastAsia="Times New Roman" w:hAnsi="Arial" w:cs="Arial"/>
          <w:iCs/>
          <w:color w:val="000000"/>
          <w:sz w:val="28"/>
          <w:szCs w:val="28"/>
        </w:rPr>
        <w:t>combined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hearing and vision loss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based on race/ethnicity. A</w:t>
      </w:r>
      <w:r w:rsidR="00B2281D">
        <w:rPr>
          <w:rFonts w:ascii="Arial" w:eastAsia="Times New Roman" w:hAnsi="Arial" w:cs="Arial"/>
          <w:iCs/>
          <w:color w:val="000000"/>
          <w:sz w:val="28"/>
          <w:szCs w:val="28"/>
        </w:rPr>
        <w:t>pproximately 68%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of </w:t>
      </w:r>
      <w:r w:rsidR="00E376B2">
        <w:rPr>
          <w:rFonts w:ascii="Arial" w:eastAsia="Times New Roman" w:hAnsi="Arial" w:cs="Arial"/>
          <w:iCs/>
          <w:color w:val="000000"/>
          <w:sz w:val="28"/>
          <w:szCs w:val="28"/>
        </w:rPr>
        <w:t>p</w:t>
      </w:r>
      <w:r w:rsidR="00A772E8">
        <w:rPr>
          <w:rFonts w:ascii="Arial" w:eastAsia="Times New Roman" w:hAnsi="Arial" w:cs="Arial"/>
          <w:iCs/>
          <w:color w:val="000000"/>
          <w:sz w:val="28"/>
          <w:szCs w:val="28"/>
        </w:rPr>
        <w:t>eople who reported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8D6F7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a dual sensory </w:t>
      </w:r>
      <w:r w:rsidR="004204FD">
        <w:rPr>
          <w:rFonts w:ascii="Arial" w:eastAsia="Times New Roman" w:hAnsi="Arial" w:cs="Arial"/>
          <w:iCs/>
          <w:color w:val="000000"/>
          <w:sz w:val="28"/>
          <w:szCs w:val="28"/>
        </w:rPr>
        <w:t>loss in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the United States</w:t>
      </w:r>
      <w:r w:rsidR="00B2281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identify as White, 14% as Hispanic, 12% as</w:t>
      </w:r>
      <w:r w:rsidR="00C1275C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Black, 3% as Asian, and 3% as other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races/ethnicities</w:t>
      </w:r>
      <w:r w:rsidR="00B2281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. </w:t>
      </w:r>
      <w:r w:rsidR="00731DC1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The percent of the </w:t>
      </w:r>
      <w:r w:rsidR="00A772E8">
        <w:rPr>
          <w:rFonts w:ascii="Arial" w:eastAsia="Times New Roman" w:hAnsi="Arial" w:cs="Arial"/>
          <w:iCs/>
          <w:color w:val="000000"/>
          <w:sz w:val="28"/>
          <w:szCs w:val="28"/>
        </w:rPr>
        <w:t>population with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combined hearing and vision loss</w:t>
      </w:r>
      <w:r w:rsidR="00703350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who are White (68%) </w:t>
      </w:r>
      <w:r w:rsidR="00EE534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is slightly larger </w:t>
      </w:r>
      <w:r w:rsidR="004204FD">
        <w:rPr>
          <w:rFonts w:ascii="Arial" w:eastAsia="Times New Roman" w:hAnsi="Arial" w:cs="Arial"/>
          <w:iCs/>
          <w:color w:val="000000"/>
          <w:sz w:val="28"/>
          <w:szCs w:val="28"/>
        </w:rPr>
        <w:t>than</w:t>
      </w:r>
      <w:r w:rsidR="00EE534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the perc</w:t>
      </w:r>
      <w:r w:rsidR="00A772E8">
        <w:rPr>
          <w:rFonts w:ascii="Arial" w:eastAsia="Times New Roman" w:hAnsi="Arial" w:cs="Arial"/>
          <w:iCs/>
          <w:color w:val="000000"/>
          <w:sz w:val="28"/>
          <w:szCs w:val="28"/>
        </w:rPr>
        <w:t>ent of the p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>opulation with</w:t>
      </w:r>
      <w:r w:rsidR="00A772E8">
        <w:rPr>
          <w:rFonts w:ascii="Arial" w:eastAsia="Times New Roman" w:hAnsi="Arial" w:cs="Arial"/>
          <w:iCs/>
          <w:color w:val="000000"/>
          <w:sz w:val="28"/>
          <w:szCs w:val="28"/>
        </w:rPr>
        <w:t>out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combined hearing and vision loss</w:t>
      </w:r>
      <w:r w:rsidR="00C1000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EE534D">
        <w:rPr>
          <w:rFonts w:ascii="Arial" w:eastAsia="Times New Roman" w:hAnsi="Arial" w:cs="Arial"/>
          <w:iCs/>
          <w:color w:val="000000"/>
          <w:sz w:val="28"/>
          <w:szCs w:val="28"/>
        </w:rPr>
        <w:t>who are White (60%). For Blacks, the percent is the same (12%). However, identified race</w:t>
      </w:r>
      <w:r w:rsidR="008F40D4">
        <w:rPr>
          <w:rFonts w:ascii="Arial" w:eastAsia="Times New Roman" w:hAnsi="Arial" w:cs="Arial"/>
          <w:iCs/>
          <w:color w:val="000000"/>
          <w:sz w:val="28"/>
          <w:szCs w:val="28"/>
        </w:rPr>
        <w:t>/ethnicity</w:t>
      </w:r>
      <w:r w:rsidR="00731DC1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for the </w:t>
      </w:r>
      <w:r w:rsidR="00A772E8">
        <w:rPr>
          <w:rFonts w:ascii="Arial" w:eastAsia="Times New Roman" w:hAnsi="Arial" w:cs="Arial"/>
          <w:iCs/>
          <w:color w:val="000000"/>
          <w:sz w:val="28"/>
          <w:szCs w:val="28"/>
        </w:rPr>
        <w:t>p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opulation with </w:t>
      </w:r>
      <w:r w:rsidR="00A16050">
        <w:rPr>
          <w:rFonts w:ascii="Arial" w:eastAsia="Times New Roman" w:hAnsi="Arial" w:cs="Arial"/>
          <w:iCs/>
          <w:color w:val="000000"/>
          <w:sz w:val="28"/>
          <w:szCs w:val="28"/>
        </w:rPr>
        <w:t>a duel sensory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loss</w:t>
      </w:r>
      <w:r w:rsidR="00731DC1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EE534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who are Hispanic (12%), Asian (3%) and other (3%), is lower </w:t>
      </w:r>
      <w:r w:rsidR="004204FD">
        <w:rPr>
          <w:rFonts w:ascii="Arial" w:eastAsia="Times New Roman" w:hAnsi="Arial" w:cs="Arial"/>
          <w:iCs/>
          <w:color w:val="000000"/>
          <w:sz w:val="28"/>
          <w:szCs w:val="28"/>
        </w:rPr>
        <w:t>than</w:t>
      </w:r>
      <w:r w:rsidR="00EE534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for those </w:t>
      </w:r>
      <w:r w:rsidR="00A772E8">
        <w:rPr>
          <w:rFonts w:ascii="Arial" w:eastAsia="Times New Roman" w:hAnsi="Arial" w:cs="Arial"/>
          <w:iCs/>
          <w:color w:val="000000"/>
          <w:sz w:val="28"/>
          <w:szCs w:val="28"/>
        </w:rPr>
        <w:t>without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8D6F7D">
        <w:rPr>
          <w:rFonts w:ascii="Arial" w:eastAsia="Times New Roman" w:hAnsi="Arial" w:cs="Arial"/>
          <w:iCs/>
          <w:color w:val="000000"/>
          <w:sz w:val="28"/>
          <w:szCs w:val="28"/>
        </w:rPr>
        <w:t>a dual sensory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4204FD">
        <w:rPr>
          <w:rFonts w:ascii="Arial" w:eastAsia="Times New Roman" w:hAnsi="Arial" w:cs="Arial"/>
          <w:iCs/>
          <w:color w:val="000000"/>
          <w:sz w:val="28"/>
          <w:szCs w:val="28"/>
        </w:rPr>
        <w:t>loss (</w:t>
      </w:r>
      <w:r w:rsidR="00EE534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18% Hispanic, 6% Asian, 4% other). </w:t>
      </w:r>
    </w:p>
    <w:p w14:paraId="3241241D" w14:textId="4343AE1E" w:rsidR="00417C45" w:rsidRDefault="00417C45" w:rsidP="00D73CD8">
      <w:pPr>
        <w:pStyle w:val="Heading1"/>
      </w:pPr>
      <w:r>
        <w:t>Employment</w:t>
      </w:r>
      <w:r w:rsidR="00072901">
        <w:t>: Employment Rates</w:t>
      </w:r>
    </w:p>
    <w:p w14:paraId="72CA1E1D" w14:textId="77777777" w:rsidR="003A1490" w:rsidRDefault="003A1490" w:rsidP="00417C45">
      <w:pPr>
        <w:rPr>
          <w:rFonts w:ascii="Arial" w:eastAsia="Times New Roman" w:hAnsi="Arial" w:cs="Arial"/>
          <w:color w:val="2E74B5" w:themeColor="accent1" w:themeShade="BF"/>
          <w:sz w:val="32"/>
          <w:szCs w:val="32"/>
        </w:rPr>
      </w:pPr>
    </w:p>
    <w:p w14:paraId="6599ACE4" w14:textId="0257BE9B" w:rsidR="00417C45" w:rsidRDefault="00F940E7" w:rsidP="00417C45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  <w:r>
        <w:rPr>
          <w:rFonts w:ascii="Arial" w:eastAsia="Times New Roman" w:hAnsi="Arial" w:cs="Arial"/>
          <w:iCs/>
          <w:color w:val="000000"/>
          <w:sz w:val="28"/>
          <w:szCs w:val="28"/>
        </w:rPr>
        <w:t>Working age a</w:t>
      </w:r>
      <w:r w:rsidR="00392BBE">
        <w:rPr>
          <w:rFonts w:ascii="Arial" w:eastAsia="Times New Roman" w:hAnsi="Arial" w:cs="Arial"/>
          <w:iCs/>
          <w:color w:val="000000"/>
          <w:sz w:val="28"/>
          <w:szCs w:val="28"/>
        </w:rPr>
        <w:t>dults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(18 to 65) in the United States who report</w:t>
      </w:r>
      <w:r w:rsidR="004204F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combined hearing and vision loss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E975BE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are half as likely to be employed and almost three </w:t>
      </w:r>
      <w:r w:rsidR="00E975BE">
        <w:rPr>
          <w:rFonts w:ascii="Arial" w:eastAsia="Times New Roman" w:hAnsi="Arial" w:cs="Arial"/>
          <w:iCs/>
          <w:color w:val="000000"/>
          <w:sz w:val="28"/>
          <w:szCs w:val="28"/>
        </w:rPr>
        <w:lastRenderedPageBreak/>
        <w:t>times as likely t</w:t>
      </w:r>
      <w:r w:rsidR="00392BBE">
        <w:rPr>
          <w:rFonts w:ascii="Arial" w:eastAsia="Times New Roman" w:hAnsi="Arial" w:cs="Arial"/>
          <w:iCs/>
          <w:color w:val="000000"/>
          <w:sz w:val="28"/>
          <w:szCs w:val="28"/>
        </w:rPr>
        <w:t>o be out of the labor force then</w:t>
      </w:r>
      <w:r w:rsidR="00CF374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are</w:t>
      </w:r>
      <w:r w:rsidR="004204F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people who do not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report</w:t>
      </w:r>
      <w:r w:rsidR="004204F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8D6F7D">
        <w:rPr>
          <w:rFonts w:ascii="Arial" w:eastAsia="Times New Roman" w:hAnsi="Arial" w:cs="Arial"/>
          <w:iCs/>
          <w:color w:val="000000"/>
          <w:sz w:val="28"/>
          <w:szCs w:val="28"/>
        </w:rPr>
        <w:t>a dual sensory</w:t>
      </w:r>
      <w:r w:rsidR="004204F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loss</w:t>
      </w:r>
      <w:r w:rsidR="00E975BE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. </w:t>
      </w:r>
      <w:r w:rsidR="00543C9D">
        <w:rPr>
          <w:rFonts w:ascii="Arial" w:eastAsia="Times New Roman" w:hAnsi="Arial" w:cs="Arial"/>
          <w:iCs/>
          <w:color w:val="000000"/>
          <w:sz w:val="28"/>
          <w:szCs w:val="28"/>
        </w:rPr>
        <w:t>J</w:t>
      </w:r>
      <w:r w:rsidR="00CF374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ust 36% </w:t>
      </w:r>
      <w:r w:rsidR="00A12860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of 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working age adults with 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>combined hearing and vision loss</w:t>
      </w:r>
      <w:r w:rsidR="00FF3246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CF374D">
        <w:rPr>
          <w:rFonts w:ascii="Arial" w:eastAsia="Times New Roman" w:hAnsi="Arial" w:cs="Arial"/>
          <w:iCs/>
          <w:color w:val="000000"/>
          <w:sz w:val="28"/>
          <w:szCs w:val="28"/>
        </w:rPr>
        <w:t>are</w:t>
      </w:r>
      <w:r w:rsidR="00417C4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employed compared to 74% of working age adults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without</w:t>
      </w:r>
      <w:r w:rsidR="004204F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combined hearing and vision loss</w:t>
      </w:r>
      <w:r w:rsidR="00417C4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. </w:t>
      </w:r>
      <w:r w:rsidR="00CF374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Of those people who are employed, </w:t>
      </w:r>
      <w:r w:rsidR="004204FD">
        <w:rPr>
          <w:rFonts w:ascii="Arial" w:eastAsia="Times New Roman" w:hAnsi="Arial" w:cs="Arial"/>
          <w:iCs/>
          <w:color w:val="000000"/>
          <w:sz w:val="28"/>
          <w:szCs w:val="28"/>
        </w:rPr>
        <w:t>p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>eople reporting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combined hearing and vision loss</w:t>
      </w:r>
      <w:r w:rsidR="004204F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CF374D">
        <w:rPr>
          <w:rFonts w:ascii="Arial" w:eastAsia="Times New Roman" w:hAnsi="Arial" w:cs="Arial"/>
          <w:iCs/>
          <w:color w:val="000000"/>
          <w:sz w:val="28"/>
          <w:szCs w:val="28"/>
        </w:rPr>
        <w:t>are less likely to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be employed full time (75%) than those not reporting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combined hearing and vision loss</w:t>
      </w:r>
      <w:r w:rsidR="004204F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CF374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(79%).The percent who are </w:t>
      </w:r>
      <w:r w:rsidR="00417C45">
        <w:rPr>
          <w:rFonts w:ascii="Arial" w:eastAsia="Times New Roman" w:hAnsi="Arial" w:cs="Arial"/>
          <w:iCs/>
          <w:color w:val="000000"/>
          <w:sz w:val="28"/>
          <w:szCs w:val="28"/>
        </w:rPr>
        <w:t>u</w:t>
      </w:r>
      <w:r w:rsidR="00CF374D">
        <w:rPr>
          <w:rFonts w:ascii="Arial" w:eastAsia="Times New Roman" w:hAnsi="Arial" w:cs="Arial"/>
          <w:iCs/>
          <w:color w:val="000000"/>
          <w:sz w:val="28"/>
          <w:szCs w:val="28"/>
        </w:rPr>
        <w:t>nemployed (looking for work) is</w:t>
      </w:r>
      <w:r w:rsidR="00417C4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similar for both 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>those with and without</w:t>
      </w:r>
      <w:r w:rsidR="004204F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combined hearing and vision loss</w:t>
      </w:r>
      <w:r w:rsidR="00731DC1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417C45">
        <w:rPr>
          <w:rFonts w:ascii="Arial" w:eastAsia="Times New Roman" w:hAnsi="Arial" w:cs="Arial"/>
          <w:iCs/>
          <w:color w:val="000000"/>
          <w:sz w:val="28"/>
          <w:szCs w:val="28"/>
        </w:rPr>
        <w:t>(3.8% and 3.5% respectively)</w:t>
      </w:r>
      <w:r w:rsidR="00E975BE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. However, 60% of working age adults </w:t>
      </w:r>
      <w:r w:rsidR="004E476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with </w:t>
      </w:r>
      <w:r w:rsidR="00320295">
        <w:rPr>
          <w:rFonts w:ascii="Arial" w:eastAsia="Times New Roman" w:hAnsi="Arial" w:cs="Arial"/>
          <w:iCs/>
          <w:color w:val="000000"/>
          <w:sz w:val="28"/>
          <w:szCs w:val="28"/>
        </w:rPr>
        <w:t>a dual sensory</w:t>
      </w:r>
      <w:r w:rsidR="004E476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loss </w:t>
      </w:r>
      <w:r w:rsidR="00CF374D">
        <w:rPr>
          <w:rFonts w:ascii="Arial" w:eastAsia="Times New Roman" w:hAnsi="Arial" w:cs="Arial"/>
          <w:iCs/>
          <w:color w:val="000000"/>
          <w:sz w:val="28"/>
          <w:szCs w:val="28"/>
        </w:rPr>
        <w:t>are</w:t>
      </w:r>
      <w:r w:rsidR="00E975BE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not in the labor forc</w:t>
      </w:r>
      <w:r w:rsidR="004E4765">
        <w:rPr>
          <w:rFonts w:ascii="Arial" w:eastAsia="Times New Roman" w:hAnsi="Arial" w:cs="Arial"/>
          <w:iCs/>
          <w:color w:val="000000"/>
          <w:sz w:val="28"/>
          <w:szCs w:val="28"/>
        </w:rPr>
        <w:t>e, com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>pared to 22% for those without</w:t>
      </w:r>
      <w:r w:rsidR="004E476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combined 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hearing and vision </w:t>
      </w:r>
      <w:r w:rsidR="004E4765">
        <w:rPr>
          <w:rFonts w:ascii="Arial" w:eastAsia="Times New Roman" w:hAnsi="Arial" w:cs="Arial"/>
          <w:iCs/>
          <w:color w:val="000000"/>
          <w:sz w:val="28"/>
          <w:szCs w:val="28"/>
        </w:rPr>
        <w:t>loss</w:t>
      </w:r>
      <w:r w:rsidR="00E975BE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. </w:t>
      </w:r>
    </w:p>
    <w:p w14:paraId="78D00B21" w14:textId="4EF23D33" w:rsidR="00C61794" w:rsidRDefault="00072901" w:rsidP="00D73CD8">
      <w:pPr>
        <w:pStyle w:val="Heading1"/>
      </w:pPr>
      <w:r>
        <w:t xml:space="preserve">Employment: </w:t>
      </w:r>
      <w:r w:rsidR="00C61794">
        <w:t>Industry</w:t>
      </w:r>
    </w:p>
    <w:p w14:paraId="68CF2243" w14:textId="36B55500" w:rsidR="00C47A05" w:rsidRDefault="00C47A05" w:rsidP="00417C45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</w:p>
    <w:p w14:paraId="20B7483F" w14:textId="1E2EA9B1" w:rsidR="001E6F9C" w:rsidRDefault="00456A8E" w:rsidP="006E064D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  <w:r>
        <w:rPr>
          <w:rFonts w:ascii="Arial" w:eastAsia="Times New Roman" w:hAnsi="Arial" w:cs="Arial"/>
          <w:iCs/>
          <w:color w:val="000000"/>
          <w:sz w:val="28"/>
          <w:szCs w:val="28"/>
        </w:rPr>
        <w:t>Across 14 groupings of occupational industry</w:t>
      </w:r>
      <w:r w:rsidR="0047489B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in the United States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, the rankings for percent in an industry are fairly similar for both </w:t>
      </w:r>
      <w:r w:rsidR="004E476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people with and without 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combined hearing and vision </w:t>
      </w:r>
      <w:r w:rsidR="004E4765">
        <w:rPr>
          <w:rFonts w:ascii="Arial" w:eastAsia="Times New Roman" w:hAnsi="Arial" w:cs="Arial"/>
          <w:iCs/>
          <w:color w:val="000000"/>
          <w:sz w:val="28"/>
          <w:szCs w:val="28"/>
        </w:rPr>
        <w:t>loss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>,</w:t>
      </w:r>
      <w:r w:rsidR="0078213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with some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exceptions. O</w:t>
      </w:r>
      <w:r w:rsidR="00AE129C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f </w:t>
      </w:r>
      <w:r w:rsidR="001E6F9C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the top 5 ranked occupations </w:t>
      </w:r>
      <w:r w:rsidR="00AE129C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“Educational Services, Health Care or </w:t>
      </w:r>
      <w:r w:rsidR="00AE129C" w:rsidRPr="00C47A05">
        <w:rPr>
          <w:rFonts w:ascii="Arial" w:eastAsia="Times New Roman" w:hAnsi="Arial" w:cs="Arial"/>
          <w:iCs/>
          <w:color w:val="000000"/>
          <w:sz w:val="28"/>
          <w:szCs w:val="28"/>
        </w:rPr>
        <w:t>Social Assistance</w:t>
      </w:r>
      <w:r w:rsidR="00AE129C">
        <w:rPr>
          <w:rFonts w:ascii="Arial" w:eastAsia="Times New Roman" w:hAnsi="Arial" w:cs="Arial"/>
          <w:iCs/>
          <w:color w:val="000000"/>
          <w:sz w:val="28"/>
          <w:szCs w:val="28"/>
        </w:rPr>
        <w:t>” is the most frequently reported occupation for b</w:t>
      </w:r>
      <w:r w:rsidR="00C47A0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oth </w:t>
      </w:r>
      <w:r w:rsidR="0047489B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people with and without 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combined hearing and vision </w:t>
      </w:r>
      <w:r w:rsidR="004E4765">
        <w:rPr>
          <w:rFonts w:ascii="Arial" w:eastAsia="Times New Roman" w:hAnsi="Arial" w:cs="Arial"/>
          <w:iCs/>
          <w:color w:val="000000"/>
          <w:sz w:val="28"/>
          <w:szCs w:val="28"/>
        </w:rPr>
        <w:t>loss (</w:t>
      </w:r>
      <w:r w:rsidR="0047489B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19.4% and </w:t>
      </w:r>
      <w:r w:rsidR="00AE129C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23.1%). </w:t>
      </w:r>
      <w:r w:rsidR="00C47A0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01599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1E6F9C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While </w:t>
      </w:r>
      <w:r w:rsidR="0001599D">
        <w:rPr>
          <w:rFonts w:ascii="Arial" w:eastAsia="Times New Roman" w:hAnsi="Arial" w:cs="Arial"/>
          <w:iCs/>
          <w:color w:val="000000"/>
          <w:sz w:val="28"/>
          <w:szCs w:val="28"/>
        </w:rPr>
        <w:t>“</w:t>
      </w:r>
      <w:r w:rsidR="0001599D" w:rsidRPr="0001599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Professional, Scientific, Mgmt, </w:t>
      </w:r>
      <w:r w:rsidR="004E4765" w:rsidRPr="0001599D">
        <w:rPr>
          <w:rFonts w:ascii="Arial" w:eastAsia="Times New Roman" w:hAnsi="Arial" w:cs="Arial"/>
          <w:iCs/>
          <w:color w:val="000000"/>
          <w:sz w:val="28"/>
          <w:szCs w:val="28"/>
        </w:rPr>
        <w:t>Admin, &amp;</w:t>
      </w:r>
      <w:r w:rsidR="0001599D" w:rsidRPr="0001599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Waste Mgmt Services</w:t>
      </w:r>
      <w:r w:rsidR="0001599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” is the second ranked occupation for people </w:t>
      </w:r>
      <w:r w:rsidR="0047489B">
        <w:rPr>
          <w:rFonts w:ascii="Arial" w:eastAsia="Times New Roman" w:hAnsi="Arial" w:cs="Arial"/>
          <w:iCs/>
          <w:color w:val="000000"/>
          <w:sz w:val="28"/>
          <w:szCs w:val="28"/>
        </w:rPr>
        <w:t>who do not report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combined hearing and vision </w:t>
      </w:r>
      <w:r w:rsidR="004E4765">
        <w:rPr>
          <w:rFonts w:ascii="Arial" w:eastAsia="Times New Roman" w:hAnsi="Arial" w:cs="Arial"/>
          <w:iCs/>
          <w:color w:val="000000"/>
          <w:sz w:val="28"/>
          <w:szCs w:val="28"/>
        </w:rPr>
        <w:t>loss (</w:t>
      </w:r>
      <w:r w:rsidR="001E6F9C">
        <w:rPr>
          <w:rFonts w:ascii="Arial" w:eastAsia="Times New Roman" w:hAnsi="Arial" w:cs="Arial"/>
          <w:iCs/>
          <w:color w:val="000000"/>
          <w:sz w:val="28"/>
          <w:szCs w:val="28"/>
        </w:rPr>
        <w:t>11.71%), it is</w:t>
      </w:r>
      <w:r w:rsidR="0001599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47489B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only </w:t>
      </w:r>
      <w:r w:rsidR="0001599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the fourth ranked occupation for people who </w:t>
      </w:r>
      <w:r w:rsidR="0047489B">
        <w:rPr>
          <w:rFonts w:ascii="Arial" w:eastAsia="Times New Roman" w:hAnsi="Arial" w:cs="Arial"/>
          <w:iCs/>
          <w:color w:val="000000"/>
          <w:sz w:val="28"/>
          <w:szCs w:val="28"/>
        </w:rPr>
        <w:t>do report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A16050">
        <w:rPr>
          <w:rFonts w:ascii="Arial" w:eastAsia="Times New Roman" w:hAnsi="Arial" w:cs="Arial"/>
          <w:iCs/>
          <w:color w:val="000000"/>
          <w:sz w:val="28"/>
          <w:szCs w:val="28"/>
        </w:rPr>
        <w:t>a dual sensory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loss</w:t>
      </w:r>
      <w:r w:rsidR="0001599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(9.87%). </w:t>
      </w:r>
      <w:r w:rsidR="0047489B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Conversely, </w:t>
      </w:r>
      <w:r w:rsidR="0001599D">
        <w:rPr>
          <w:rFonts w:ascii="Arial" w:eastAsia="Times New Roman" w:hAnsi="Arial" w:cs="Arial"/>
          <w:iCs/>
          <w:color w:val="000000"/>
          <w:sz w:val="28"/>
          <w:szCs w:val="28"/>
        </w:rPr>
        <w:t>“</w:t>
      </w:r>
      <w:r w:rsidR="001E6F9C">
        <w:rPr>
          <w:rFonts w:ascii="Arial" w:eastAsia="Times New Roman" w:hAnsi="Arial" w:cs="Arial"/>
          <w:iCs/>
          <w:color w:val="000000"/>
          <w:sz w:val="28"/>
          <w:szCs w:val="28"/>
        </w:rPr>
        <w:t>Manufactu</w:t>
      </w:r>
      <w:r w:rsidR="0001599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ring” is the </w:t>
      </w:r>
      <w:r w:rsidR="001E6F9C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second ranked occupation for people who </w:t>
      </w:r>
      <w:r w:rsidR="0047489B">
        <w:rPr>
          <w:rFonts w:ascii="Arial" w:eastAsia="Times New Roman" w:hAnsi="Arial" w:cs="Arial"/>
          <w:iCs/>
          <w:color w:val="000000"/>
          <w:sz w:val="28"/>
          <w:szCs w:val="28"/>
        </w:rPr>
        <w:t>report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combined hearing and vision loss</w:t>
      </w:r>
      <w:r w:rsidR="001E6F9C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(12.3%) and the fourth ranked occupation for people </w:t>
      </w:r>
      <w:r w:rsidR="0047489B">
        <w:rPr>
          <w:rFonts w:ascii="Arial" w:eastAsia="Times New Roman" w:hAnsi="Arial" w:cs="Arial"/>
          <w:iCs/>
          <w:color w:val="000000"/>
          <w:sz w:val="28"/>
          <w:szCs w:val="28"/>
        </w:rPr>
        <w:t>who do not report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combined hearing and vision </w:t>
      </w:r>
      <w:r w:rsidR="004E4765">
        <w:rPr>
          <w:rFonts w:ascii="Arial" w:eastAsia="Times New Roman" w:hAnsi="Arial" w:cs="Arial"/>
          <w:iCs/>
          <w:color w:val="000000"/>
          <w:sz w:val="28"/>
          <w:szCs w:val="28"/>
        </w:rPr>
        <w:t>loss (</w:t>
      </w:r>
      <w:r w:rsidR="001E6F9C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9.87%). “Retail Trade” and “Arts, Entertainment, Recreation, or </w:t>
      </w:r>
      <w:r w:rsidR="001E6F9C" w:rsidRPr="001E6F9C">
        <w:rPr>
          <w:rFonts w:ascii="Arial" w:eastAsia="Times New Roman" w:hAnsi="Arial" w:cs="Arial"/>
          <w:iCs/>
          <w:color w:val="000000"/>
          <w:sz w:val="28"/>
          <w:szCs w:val="28"/>
        </w:rPr>
        <w:t>Accommodation and Food Services</w:t>
      </w:r>
      <w:r w:rsidR="001E6F9C">
        <w:rPr>
          <w:rFonts w:ascii="Arial" w:eastAsia="Times New Roman" w:hAnsi="Arial" w:cs="Arial"/>
          <w:iCs/>
          <w:color w:val="000000"/>
          <w:sz w:val="28"/>
          <w:szCs w:val="28"/>
        </w:rPr>
        <w:t>” is the third and fifth ranked occupat</w:t>
      </w:r>
      <w:r w:rsidR="0047489B">
        <w:rPr>
          <w:rFonts w:ascii="Arial" w:eastAsia="Times New Roman" w:hAnsi="Arial" w:cs="Arial"/>
          <w:iCs/>
          <w:color w:val="000000"/>
          <w:sz w:val="28"/>
          <w:szCs w:val="28"/>
        </w:rPr>
        <w:t>ion for both groups</w:t>
      </w:r>
      <w:r w:rsidR="001E6F9C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. </w:t>
      </w:r>
      <w:r w:rsidR="006E064D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“Military” is the least frequently reported occupation for both groups (0.86% for </w:t>
      </w:r>
      <w:r w:rsidR="0047489B">
        <w:rPr>
          <w:rFonts w:ascii="Arial" w:eastAsia="Times New Roman" w:hAnsi="Arial" w:cs="Arial"/>
          <w:iCs/>
          <w:color w:val="000000"/>
          <w:sz w:val="28"/>
          <w:szCs w:val="28"/>
        </w:rPr>
        <w:t>p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eople </w:t>
      </w:r>
      <w:r w:rsidR="0047489B">
        <w:rPr>
          <w:rFonts w:ascii="Arial" w:eastAsia="Times New Roman" w:hAnsi="Arial" w:cs="Arial"/>
          <w:iCs/>
          <w:color w:val="000000"/>
          <w:sz w:val="28"/>
          <w:szCs w:val="28"/>
        </w:rPr>
        <w:t>with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combined hearing and vision loss</w:t>
      </w:r>
      <w:r w:rsidR="004E476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and 0.77% for </w:t>
      </w:r>
      <w:r w:rsidR="006E064D">
        <w:rPr>
          <w:rFonts w:ascii="Arial" w:eastAsia="Times New Roman" w:hAnsi="Arial" w:cs="Arial"/>
          <w:iCs/>
          <w:color w:val="000000"/>
          <w:sz w:val="28"/>
          <w:szCs w:val="28"/>
        </w:rPr>
        <w:t>people</w:t>
      </w:r>
      <w:r w:rsidR="004E476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without</w:t>
      </w:r>
      <w:r w:rsidR="0047489B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4E476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combined </w:t>
      </w:r>
      <w:r w:rsidR="0047489B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hearing and vision </w:t>
      </w:r>
      <w:r w:rsidR="004E4765">
        <w:rPr>
          <w:rFonts w:ascii="Arial" w:eastAsia="Times New Roman" w:hAnsi="Arial" w:cs="Arial"/>
          <w:iCs/>
          <w:color w:val="000000"/>
          <w:sz w:val="28"/>
          <w:szCs w:val="28"/>
        </w:rPr>
        <w:t>loss</w:t>
      </w:r>
      <w:r w:rsidR="006E064D">
        <w:rPr>
          <w:rFonts w:ascii="Arial" w:eastAsia="Times New Roman" w:hAnsi="Arial" w:cs="Arial"/>
          <w:iCs/>
          <w:color w:val="000000"/>
          <w:sz w:val="28"/>
          <w:szCs w:val="28"/>
        </w:rPr>
        <w:t>).</w:t>
      </w:r>
    </w:p>
    <w:p w14:paraId="7583D815" w14:textId="167B897F" w:rsidR="006C7366" w:rsidRDefault="006C7366" w:rsidP="00D73CD8">
      <w:pPr>
        <w:pStyle w:val="Heading1"/>
      </w:pPr>
      <w:r>
        <w:t>Poverty</w:t>
      </w:r>
    </w:p>
    <w:p w14:paraId="3688CB3D" w14:textId="77777777" w:rsidR="003A1490" w:rsidRPr="003A1490" w:rsidRDefault="003A1490" w:rsidP="003A1490"/>
    <w:p w14:paraId="23BB871E" w14:textId="55BD2D51" w:rsidR="006C7366" w:rsidRDefault="00CF374D" w:rsidP="00417C45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  <w:r>
        <w:rPr>
          <w:rFonts w:ascii="Arial" w:eastAsia="Times New Roman" w:hAnsi="Arial" w:cs="Arial"/>
          <w:iCs/>
          <w:color w:val="000000"/>
          <w:sz w:val="28"/>
          <w:szCs w:val="28"/>
        </w:rPr>
        <w:t>P</w:t>
      </w:r>
      <w:r w:rsidR="00802A7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eople with 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>combined hearing and vision loss</w:t>
      </w:r>
      <w:r w:rsidR="006C7366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802A7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in the United States </w:t>
      </w:r>
      <w:r w:rsidR="006C7366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are almost twice as likely to live in poverty (20.4%) as people </w:t>
      </w:r>
      <w:r w:rsidR="00802A78">
        <w:rPr>
          <w:rFonts w:ascii="Arial" w:eastAsia="Times New Roman" w:hAnsi="Arial" w:cs="Arial"/>
          <w:iCs/>
          <w:color w:val="000000"/>
          <w:sz w:val="28"/>
          <w:szCs w:val="28"/>
        </w:rPr>
        <w:t>without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combined hearing and vision </w:t>
      </w:r>
      <w:r w:rsidR="004E4765">
        <w:rPr>
          <w:rFonts w:ascii="Arial" w:eastAsia="Times New Roman" w:hAnsi="Arial" w:cs="Arial"/>
          <w:iCs/>
          <w:color w:val="000000"/>
          <w:sz w:val="28"/>
          <w:szCs w:val="28"/>
        </w:rPr>
        <w:t>loss (</w:t>
      </w:r>
      <w:r w:rsidR="006C7366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12.2%). </w:t>
      </w:r>
      <w:r w:rsidR="00B14311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Of those </w:t>
      </w:r>
      <w:r w:rsidR="00802A7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reporting </w:t>
      </w:r>
      <w:r w:rsidR="00A16050">
        <w:rPr>
          <w:rFonts w:ascii="Arial" w:eastAsia="Times New Roman" w:hAnsi="Arial" w:cs="Arial"/>
          <w:iCs/>
          <w:color w:val="000000"/>
          <w:sz w:val="28"/>
          <w:szCs w:val="28"/>
        </w:rPr>
        <w:t>a dual sensory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loss</w:t>
      </w:r>
      <w:r w:rsidR="004E476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B14311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living in poverty, approximately 25% are of transition age (14-24) and 18% are seniors (55+). </w:t>
      </w:r>
    </w:p>
    <w:p w14:paraId="05CE8A4D" w14:textId="2E896D38" w:rsidR="00613B5C" w:rsidRDefault="00F76C14" w:rsidP="00D73CD8">
      <w:pPr>
        <w:pStyle w:val="Heading1"/>
      </w:pPr>
      <w:r>
        <w:lastRenderedPageBreak/>
        <w:t>Veterans</w:t>
      </w:r>
    </w:p>
    <w:p w14:paraId="05AE0688" w14:textId="003D4C1A" w:rsidR="00F76C14" w:rsidRDefault="00F76C14" w:rsidP="00417C45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</w:p>
    <w:p w14:paraId="4A9D39DE" w14:textId="67E8586B" w:rsidR="00F76C14" w:rsidRDefault="00A9528B" w:rsidP="00417C45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  <w:r>
        <w:rPr>
          <w:rFonts w:ascii="Arial" w:eastAsia="Times New Roman" w:hAnsi="Arial" w:cs="Arial"/>
          <w:iCs/>
          <w:color w:val="000000"/>
          <w:sz w:val="28"/>
          <w:szCs w:val="28"/>
        </w:rPr>
        <w:t>N</w:t>
      </w:r>
      <w:r w:rsidR="00F76C14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early 20% 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of the </w:t>
      </w:r>
      <w:r w:rsidR="00A772E8">
        <w:rPr>
          <w:rFonts w:ascii="Arial" w:eastAsia="Times New Roman" w:hAnsi="Arial" w:cs="Arial"/>
          <w:iCs/>
          <w:color w:val="000000"/>
          <w:sz w:val="28"/>
          <w:szCs w:val="28"/>
        </w:rPr>
        <w:t>population</w:t>
      </w:r>
      <w:r w:rsidR="00802A7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reporting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combined hearing and vision loss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in the United States </w:t>
      </w:r>
      <w:r w:rsidR="00F76C14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are </w:t>
      </w:r>
      <w:r w:rsidR="004E6551">
        <w:rPr>
          <w:rFonts w:ascii="Arial" w:eastAsia="Times New Roman" w:hAnsi="Arial" w:cs="Arial"/>
          <w:iCs/>
          <w:color w:val="000000"/>
          <w:sz w:val="28"/>
          <w:szCs w:val="28"/>
        </w:rPr>
        <w:t>v</w:t>
      </w:r>
      <w:r w:rsidR="00F76C14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eterans, and 6.5% are </w:t>
      </w:r>
      <w:r w:rsidR="004E6551">
        <w:rPr>
          <w:rFonts w:ascii="Arial" w:eastAsia="Times New Roman" w:hAnsi="Arial" w:cs="Arial"/>
          <w:iCs/>
          <w:color w:val="000000"/>
          <w:sz w:val="28"/>
          <w:szCs w:val="28"/>
        </w:rPr>
        <w:t>v</w:t>
      </w:r>
      <w:r w:rsidR="00F76C14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eterans with a service-related disability. </w:t>
      </w:r>
    </w:p>
    <w:p w14:paraId="2E881C79" w14:textId="692FCDE4" w:rsidR="008030FB" w:rsidRDefault="008030FB" w:rsidP="00D73CD8">
      <w:pPr>
        <w:pStyle w:val="Heading1"/>
      </w:pPr>
      <w:r>
        <w:t>Additional Disability</w:t>
      </w:r>
    </w:p>
    <w:p w14:paraId="5BF86EE3" w14:textId="0929BEA6" w:rsidR="008030FB" w:rsidRDefault="008030FB" w:rsidP="00417C45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</w:p>
    <w:p w14:paraId="2183A41F" w14:textId="502F6B45" w:rsidR="008030FB" w:rsidRDefault="008030FB" w:rsidP="008030FB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Almost half (49.7%) of individuals who 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>have combined hearing and vision loss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also report having a cognitive disability. This is significantly less </w:t>
      </w:r>
      <w:r w:rsidR="004E4765">
        <w:rPr>
          <w:rFonts w:ascii="Arial" w:eastAsia="Times New Roman" w:hAnsi="Arial" w:cs="Arial"/>
          <w:iCs/>
          <w:color w:val="000000"/>
          <w:sz w:val="28"/>
          <w:szCs w:val="28"/>
        </w:rPr>
        <w:t>than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the rate of cognitive disability reported by those people </w:t>
      </w:r>
      <w:r w:rsidR="0013471B">
        <w:rPr>
          <w:rFonts w:ascii="Arial" w:eastAsia="Times New Roman" w:hAnsi="Arial" w:cs="Arial"/>
          <w:iCs/>
          <w:color w:val="000000"/>
          <w:sz w:val="28"/>
          <w:szCs w:val="28"/>
        </w:rPr>
        <w:t>w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ho do not have combined hearing and vision </w:t>
      </w:r>
      <w:r w:rsidR="004E4765">
        <w:rPr>
          <w:rFonts w:ascii="Arial" w:eastAsia="Times New Roman" w:hAnsi="Arial" w:cs="Arial"/>
          <w:iCs/>
          <w:color w:val="000000"/>
          <w:sz w:val="28"/>
          <w:szCs w:val="28"/>
        </w:rPr>
        <w:t>loss (</w:t>
      </w:r>
      <w:r>
        <w:rPr>
          <w:rFonts w:ascii="Arial" w:eastAsia="Times New Roman" w:hAnsi="Arial" w:cs="Arial"/>
          <w:iCs/>
          <w:color w:val="000000"/>
          <w:sz w:val="28"/>
          <w:szCs w:val="28"/>
        </w:rPr>
        <w:t>4.87%).</w:t>
      </w:r>
    </w:p>
    <w:p w14:paraId="225A3A5F" w14:textId="69FA87C8" w:rsidR="008030FB" w:rsidRDefault="008030FB" w:rsidP="00D73CD8">
      <w:pPr>
        <w:pStyle w:val="Heading1"/>
      </w:pPr>
      <w:r>
        <w:t>Education Level</w:t>
      </w:r>
    </w:p>
    <w:p w14:paraId="0878C714" w14:textId="1C79FF8B" w:rsidR="008030FB" w:rsidRDefault="008030FB" w:rsidP="00417C45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</w:p>
    <w:p w14:paraId="1D2B898D" w14:textId="69B782BA" w:rsidR="008030FB" w:rsidRPr="00AC0863" w:rsidRDefault="007F5343" w:rsidP="00417C45">
      <w:pPr>
        <w:rPr>
          <w:rFonts w:ascii="Arial" w:eastAsia="Times New Roman" w:hAnsi="Arial" w:cs="Arial"/>
          <w:iCs/>
          <w:color w:val="000000"/>
          <w:sz w:val="28"/>
          <w:szCs w:val="28"/>
        </w:rPr>
      </w:pPr>
      <w:r>
        <w:rPr>
          <w:rFonts w:ascii="Arial" w:eastAsia="Times New Roman" w:hAnsi="Arial" w:cs="Arial"/>
          <w:iCs/>
          <w:color w:val="000000"/>
          <w:sz w:val="28"/>
          <w:szCs w:val="28"/>
        </w:rPr>
        <w:t>P</w:t>
      </w:r>
      <w:r w:rsidR="0013471B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eople with 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>combined hearing and vision loss</w:t>
      </w:r>
      <w:r w:rsidR="008030FB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463528">
        <w:rPr>
          <w:rFonts w:ascii="Arial" w:eastAsia="Times New Roman" w:hAnsi="Arial" w:cs="Arial"/>
          <w:iCs/>
          <w:color w:val="000000"/>
          <w:sz w:val="28"/>
          <w:szCs w:val="28"/>
        </w:rPr>
        <w:t>report much lower levels of education t</w:t>
      </w:r>
      <w:r w:rsidR="0013471B">
        <w:rPr>
          <w:rFonts w:ascii="Arial" w:eastAsia="Times New Roman" w:hAnsi="Arial" w:cs="Arial"/>
          <w:iCs/>
          <w:color w:val="000000"/>
          <w:sz w:val="28"/>
          <w:szCs w:val="28"/>
        </w:rPr>
        <w:t>hen do people without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combined hearing and vision loss</w:t>
      </w:r>
      <w:r w:rsidR="0013471B">
        <w:rPr>
          <w:rFonts w:ascii="Arial" w:eastAsia="Times New Roman" w:hAnsi="Arial" w:cs="Arial"/>
          <w:iCs/>
          <w:color w:val="000000"/>
          <w:sz w:val="28"/>
          <w:szCs w:val="28"/>
        </w:rPr>
        <w:t>. D</w:t>
      </w:r>
      <w:r w:rsidR="009F7545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ata </w:t>
      </w:r>
      <w:r w:rsidR="0013471B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on level of education in the United States </w:t>
      </w:r>
      <w:r w:rsidR="009F7545">
        <w:rPr>
          <w:rFonts w:ascii="Arial" w:eastAsia="Times New Roman" w:hAnsi="Arial" w:cs="Arial"/>
          <w:iCs/>
          <w:color w:val="000000"/>
          <w:sz w:val="28"/>
          <w:szCs w:val="28"/>
        </w:rPr>
        <w:t>suggests significant barriers to both high school and college retention a</w:t>
      </w:r>
      <w:r w:rsidR="0013471B">
        <w:rPr>
          <w:rFonts w:ascii="Arial" w:eastAsia="Times New Roman" w:hAnsi="Arial" w:cs="Arial"/>
          <w:iCs/>
          <w:color w:val="000000"/>
          <w:sz w:val="28"/>
          <w:szCs w:val="28"/>
        </w:rPr>
        <w:t>nd participation by people with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combined hearing and vision loss</w:t>
      </w:r>
      <w:r w:rsidR="0013471B">
        <w:rPr>
          <w:rFonts w:ascii="Arial" w:eastAsia="Times New Roman" w:hAnsi="Arial" w:cs="Arial"/>
          <w:iCs/>
          <w:color w:val="000000"/>
          <w:sz w:val="28"/>
          <w:szCs w:val="28"/>
        </w:rPr>
        <w:t>. People with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A16050">
        <w:rPr>
          <w:rFonts w:ascii="Arial" w:eastAsia="Times New Roman" w:hAnsi="Arial" w:cs="Arial"/>
          <w:iCs/>
          <w:color w:val="000000"/>
          <w:sz w:val="28"/>
          <w:szCs w:val="28"/>
        </w:rPr>
        <w:t>a dual sensory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loss</w:t>
      </w:r>
      <w:r w:rsidR="004635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45216F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aged 25 and older </w:t>
      </w:r>
      <w:r w:rsidR="004635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are half as likely to have a </w:t>
      </w:r>
      <w:r w:rsidR="004E6551">
        <w:rPr>
          <w:rFonts w:ascii="Arial" w:eastAsia="Times New Roman" w:hAnsi="Arial" w:cs="Arial"/>
          <w:iCs/>
          <w:color w:val="000000"/>
          <w:sz w:val="28"/>
          <w:szCs w:val="28"/>
        </w:rPr>
        <w:t>b</w:t>
      </w:r>
      <w:r w:rsidR="004635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achelor’s degree </w:t>
      </w:r>
      <w:r w:rsidR="007A7B19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(14.6% vs. 33.4%) and over twice as likely to have less than a high school diploma (27.2% vs. 11.2%) than are people without combined hearing and vision loss. </w:t>
      </w:r>
      <w:r w:rsidR="00387EDA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Fewer </w:t>
      </w:r>
      <w:r w:rsidR="007A7B19">
        <w:rPr>
          <w:rFonts w:ascii="Arial" w:eastAsia="Times New Roman" w:hAnsi="Arial" w:cs="Arial"/>
          <w:iCs/>
          <w:color w:val="000000"/>
          <w:sz w:val="28"/>
          <w:szCs w:val="28"/>
        </w:rPr>
        <w:t>p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eople who have combined hearing and vision </w:t>
      </w:r>
      <w:r w:rsidR="004E4765">
        <w:rPr>
          <w:rFonts w:ascii="Arial" w:eastAsia="Times New Roman" w:hAnsi="Arial" w:cs="Arial"/>
          <w:iCs/>
          <w:color w:val="000000"/>
          <w:sz w:val="28"/>
          <w:szCs w:val="28"/>
        </w:rPr>
        <w:t>loss also</w:t>
      </w:r>
      <w:r w:rsidR="00387EDA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report having had some college (23.5%) compared to people</w:t>
      </w:r>
      <w:r w:rsidR="0045216F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7A7B19">
        <w:rPr>
          <w:rFonts w:ascii="Arial" w:eastAsia="Times New Roman" w:hAnsi="Arial" w:cs="Arial"/>
          <w:iCs/>
          <w:color w:val="000000"/>
          <w:sz w:val="28"/>
          <w:szCs w:val="28"/>
        </w:rPr>
        <w:t>w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ho do not have combined hearing and vision </w:t>
      </w:r>
      <w:r w:rsidR="004E4765">
        <w:rPr>
          <w:rFonts w:ascii="Arial" w:eastAsia="Times New Roman" w:hAnsi="Arial" w:cs="Arial"/>
          <w:iCs/>
          <w:color w:val="000000"/>
          <w:sz w:val="28"/>
          <w:szCs w:val="28"/>
        </w:rPr>
        <w:t>loss (</w:t>
      </w:r>
      <w:r w:rsidR="0045216F">
        <w:rPr>
          <w:rFonts w:ascii="Arial" w:eastAsia="Times New Roman" w:hAnsi="Arial" w:cs="Arial"/>
          <w:iCs/>
          <w:color w:val="000000"/>
          <w:sz w:val="28"/>
          <w:szCs w:val="28"/>
        </w:rPr>
        <w:t>28.6%). Discrepancies in attainment of higher education persist for adults aged 3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0 and older, with only 20.3% of </w:t>
      </w:r>
      <w:r w:rsidR="0045216F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adults 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with </w:t>
      </w:r>
      <w:r w:rsidR="00A16050">
        <w:rPr>
          <w:rFonts w:ascii="Arial" w:eastAsia="Times New Roman" w:hAnsi="Arial" w:cs="Arial"/>
          <w:iCs/>
          <w:color w:val="000000"/>
          <w:sz w:val="28"/>
          <w:szCs w:val="28"/>
        </w:rPr>
        <w:t>a dual sensory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loss </w:t>
      </w:r>
      <w:r w:rsidR="0045216F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aged 30 and older reporting attainment of an </w:t>
      </w:r>
      <w:r w:rsidR="004E6551">
        <w:rPr>
          <w:rFonts w:ascii="Arial" w:eastAsia="Times New Roman" w:hAnsi="Arial" w:cs="Arial"/>
          <w:iCs/>
          <w:color w:val="000000"/>
          <w:sz w:val="28"/>
          <w:szCs w:val="28"/>
        </w:rPr>
        <w:t>a</w:t>
      </w:r>
      <w:r w:rsidR="004E4765">
        <w:rPr>
          <w:rFonts w:ascii="Arial" w:eastAsia="Times New Roman" w:hAnsi="Arial" w:cs="Arial"/>
          <w:iCs/>
          <w:color w:val="000000"/>
          <w:sz w:val="28"/>
          <w:szCs w:val="28"/>
        </w:rPr>
        <w:t>ssociate’s</w:t>
      </w:r>
      <w:r w:rsidR="0045216F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degree or higher versus 41.8% of adults aged 30 and older </w:t>
      </w:r>
      <w:r w:rsidR="007A7B19">
        <w:rPr>
          <w:rFonts w:ascii="Arial" w:eastAsia="Times New Roman" w:hAnsi="Arial" w:cs="Arial"/>
          <w:iCs/>
          <w:color w:val="000000"/>
          <w:sz w:val="28"/>
          <w:szCs w:val="28"/>
        </w:rPr>
        <w:t>without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</w:t>
      </w:r>
      <w:r w:rsidR="000A576C">
        <w:rPr>
          <w:rFonts w:ascii="Arial" w:eastAsia="Times New Roman" w:hAnsi="Arial" w:cs="Arial"/>
          <w:iCs/>
          <w:color w:val="000000"/>
          <w:sz w:val="28"/>
          <w:szCs w:val="28"/>
        </w:rPr>
        <w:t>a dual sensory</w:t>
      </w:r>
      <w:r w:rsidR="00FE1B28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 loss</w:t>
      </w:r>
      <w:r w:rsidR="006300BB">
        <w:rPr>
          <w:rFonts w:ascii="Arial" w:eastAsia="Times New Roman" w:hAnsi="Arial" w:cs="Arial"/>
          <w:iCs/>
          <w:color w:val="000000"/>
          <w:sz w:val="28"/>
          <w:szCs w:val="28"/>
        </w:rPr>
        <w:t xml:space="preserve">. </w:t>
      </w:r>
    </w:p>
    <w:sectPr w:rsidR="008030FB" w:rsidRPr="00AC08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25A"/>
    <w:rsid w:val="0001599D"/>
    <w:rsid w:val="00024367"/>
    <w:rsid w:val="00024FC6"/>
    <w:rsid w:val="00072901"/>
    <w:rsid w:val="000A0302"/>
    <w:rsid w:val="000A576C"/>
    <w:rsid w:val="000F4EA7"/>
    <w:rsid w:val="0013471B"/>
    <w:rsid w:val="0017275D"/>
    <w:rsid w:val="00172EA4"/>
    <w:rsid w:val="001E6F9C"/>
    <w:rsid w:val="0022250C"/>
    <w:rsid w:val="002B1730"/>
    <w:rsid w:val="003171D5"/>
    <w:rsid w:val="00320295"/>
    <w:rsid w:val="00336D2F"/>
    <w:rsid w:val="00367D19"/>
    <w:rsid w:val="00384934"/>
    <w:rsid w:val="00387EDA"/>
    <w:rsid w:val="00390197"/>
    <w:rsid w:val="00392BBE"/>
    <w:rsid w:val="003A1490"/>
    <w:rsid w:val="003D1598"/>
    <w:rsid w:val="00401304"/>
    <w:rsid w:val="00417C45"/>
    <w:rsid w:val="004204FD"/>
    <w:rsid w:val="00445E4F"/>
    <w:rsid w:val="0045216F"/>
    <w:rsid w:val="00456A18"/>
    <w:rsid w:val="00456A8E"/>
    <w:rsid w:val="00456F87"/>
    <w:rsid w:val="00463528"/>
    <w:rsid w:val="00465031"/>
    <w:rsid w:val="0047489B"/>
    <w:rsid w:val="004A01CD"/>
    <w:rsid w:val="004A7E6E"/>
    <w:rsid w:val="004E4765"/>
    <w:rsid w:val="004E6551"/>
    <w:rsid w:val="00520CFE"/>
    <w:rsid w:val="005425CA"/>
    <w:rsid w:val="00543C9D"/>
    <w:rsid w:val="00577A84"/>
    <w:rsid w:val="005819F5"/>
    <w:rsid w:val="005D1DA5"/>
    <w:rsid w:val="005D76C3"/>
    <w:rsid w:val="005F669E"/>
    <w:rsid w:val="00603DE4"/>
    <w:rsid w:val="00613B5C"/>
    <w:rsid w:val="006300BB"/>
    <w:rsid w:val="006B6053"/>
    <w:rsid w:val="006C7366"/>
    <w:rsid w:val="006D05B7"/>
    <w:rsid w:val="006E064D"/>
    <w:rsid w:val="00702A56"/>
    <w:rsid w:val="00703350"/>
    <w:rsid w:val="00731DC1"/>
    <w:rsid w:val="00753CF2"/>
    <w:rsid w:val="00782135"/>
    <w:rsid w:val="00784F26"/>
    <w:rsid w:val="007A7B19"/>
    <w:rsid w:val="007B1401"/>
    <w:rsid w:val="007C2DA4"/>
    <w:rsid w:val="007D344B"/>
    <w:rsid w:val="007E5A71"/>
    <w:rsid w:val="007E5EF3"/>
    <w:rsid w:val="007F5343"/>
    <w:rsid w:val="00802A78"/>
    <w:rsid w:val="008030FB"/>
    <w:rsid w:val="008C5F79"/>
    <w:rsid w:val="008D2177"/>
    <w:rsid w:val="008D6F7D"/>
    <w:rsid w:val="008D7456"/>
    <w:rsid w:val="008F40D4"/>
    <w:rsid w:val="009E7119"/>
    <w:rsid w:val="009F1772"/>
    <w:rsid w:val="009F4198"/>
    <w:rsid w:val="009F7545"/>
    <w:rsid w:val="00A12860"/>
    <w:rsid w:val="00A16050"/>
    <w:rsid w:val="00A772E8"/>
    <w:rsid w:val="00A8225A"/>
    <w:rsid w:val="00A9528B"/>
    <w:rsid w:val="00AA4262"/>
    <w:rsid w:val="00AB549E"/>
    <w:rsid w:val="00AC0863"/>
    <w:rsid w:val="00AE129C"/>
    <w:rsid w:val="00B14311"/>
    <w:rsid w:val="00B2281D"/>
    <w:rsid w:val="00B945E9"/>
    <w:rsid w:val="00B948A8"/>
    <w:rsid w:val="00C10009"/>
    <w:rsid w:val="00C1275C"/>
    <w:rsid w:val="00C42980"/>
    <w:rsid w:val="00C47A05"/>
    <w:rsid w:val="00C61794"/>
    <w:rsid w:val="00C61F9D"/>
    <w:rsid w:val="00C63184"/>
    <w:rsid w:val="00C7375E"/>
    <w:rsid w:val="00CA5749"/>
    <w:rsid w:val="00CE07E7"/>
    <w:rsid w:val="00CF374D"/>
    <w:rsid w:val="00D236E0"/>
    <w:rsid w:val="00D362F4"/>
    <w:rsid w:val="00D73CD8"/>
    <w:rsid w:val="00DA64C0"/>
    <w:rsid w:val="00DB70E7"/>
    <w:rsid w:val="00E118B4"/>
    <w:rsid w:val="00E222BF"/>
    <w:rsid w:val="00E227FD"/>
    <w:rsid w:val="00E2756C"/>
    <w:rsid w:val="00E376B2"/>
    <w:rsid w:val="00E54F16"/>
    <w:rsid w:val="00E975BE"/>
    <w:rsid w:val="00EE534D"/>
    <w:rsid w:val="00F24E19"/>
    <w:rsid w:val="00F76C14"/>
    <w:rsid w:val="00F940E7"/>
    <w:rsid w:val="00FE1B28"/>
    <w:rsid w:val="00FF0E55"/>
    <w:rsid w:val="00FF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C77B9"/>
  <w15:chartTrackingRefBased/>
  <w15:docId w15:val="{B0ECD83A-E747-4CD2-96F8-0C5E6B72E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25A"/>
    <w:pPr>
      <w:spacing w:after="0" w:line="240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3CD8"/>
    <w:pPr>
      <w:keepNext/>
      <w:keepLines/>
      <w:spacing w:before="240"/>
      <w:outlineLvl w:val="0"/>
    </w:pPr>
    <w:rPr>
      <w:rFonts w:ascii="Arial" w:eastAsia="Times New Roman" w:hAnsi="Arial" w:cs="Arial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17C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C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C45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C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C45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C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C45"/>
    <w:rPr>
      <w:rFonts w:ascii="Segoe UI" w:eastAsiaTheme="minorEastAsia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45E4F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73CD8"/>
    <w:pPr>
      <w:contextualSpacing/>
    </w:pPr>
    <w:rPr>
      <w:rFonts w:ascii="Arial" w:eastAsia="Times New Roman" w:hAnsi="Arial" w:cs="Arial"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D73CD8"/>
    <w:rPr>
      <w:rFonts w:ascii="Arial" w:eastAsia="Times New Roman" w:hAnsi="Arial" w:cs="Arial"/>
      <w:spacing w:val="-10"/>
      <w:kern w:val="28"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D73CD8"/>
    <w:rPr>
      <w:rFonts w:ascii="Arial" w:eastAsia="Times New Roman" w:hAnsi="Arial" w:cs="Arial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gan.conway@hknc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1121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Conway</dc:creator>
  <cp:keywords/>
  <dc:description/>
  <cp:lastModifiedBy>Tara Brown-Ogilvie, PhD, COMS, VRT</cp:lastModifiedBy>
  <cp:revision>9</cp:revision>
  <dcterms:created xsi:type="dcterms:W3CDTF">2023-02-24T19:03:00Z</dcterms:created>
  <dcterms:modified xsi:type="dcterms:W3CDTF">2026-10-16T15:02:00Z</dcterms:modified>
</cp:coreProperties>
</file>