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0C65" w14:textId="758D28A3" w:rsidR="009025DC" w:rsidRDefault="009025DC" w:rsidP="009025DC">
      <w:pPr>
        <w:jc w:val="center"/>
        <w:rPr>
          <w:rFonts w:ascii="Arial" w:hAnsi="Arial" w:cs="Arial"/>
          <w:sz w:val="24"/>
          <w:szCs w:val="24"/>
        </w:rPr>
      </w:pPr>
      <w:r w:rsidRPr="009025DC">
        <w:rPr>
          <w:rFonts w:ascii="Arial Nova" w:eastAsia="Arial Nova" w:hAnsi="Arial Nova" w:cs="Arial Nova"/>
          <w:noProof/>
          <w:color w:val="467886" w:themeColor="hyperlink"/>
          <w:sz w:val="28"/>
          <w:szCs w:val="28"/>
          <w14:ligatures w14:val="standardContextual"/>
        </w:rPr>
        <w:drawing>
          <wp:inline distT="0" distB="0" distL="0" distR="0" wp14:anchorId="435CDB6B" wp14:editId="7EFD14CF">
            <wp:extent cx="3973398" cy="824395"/>
            <wp:effectExtent l="0" t="0" r="1905" b="1270"/>
            <wp:docPr id="1938845092" name="Picture 1" descr="HKNC Logo: Helen Keller National Center for DeafBlind Youths and Adults&#10;">
              <a:extLst xmlns:a="http://schemas.openxmlformats.org/drawingml/2006/main">
                <a:ext uri="{FF2B5EF4-FFF2-40B4-BE49-F238E27FC236}">
                  <a16:creationId xmlns:a16="http://schemas.microsoft.com/office/drawing/2014/main" id="{C9153E52-FEAD-4F52-8EBF-02F9E864B7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45092" name="Picture 1" descr="HKNC Logo: Helen Keller National Center for DeafBlind Youths and Adults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265" cy="84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FB3CA" w14:textId="3FC60D4F" w:rsidR="009025DC" w:rsidRPr="009025DC" w:rsidRDefault="009025DC" w:rsidP="009025DC">
      <w:pPr>
        <w:pStyle w:val="Heading1"/>
        <w:rPr>
          <w:rFonts w:eastAsia="Times New Roman"/>
        </w:rPr>
      </w:pPr>
      <w:bookmarkStart w:id="0" w:name="_National_Agencies_and"/>
      <w:bookmarkEnd w:id="0"/>
      <w:r w:rsidRPr="009025DC">
        <w:rPr>
          <w:rFonts w:eastAsia="Times New Roman"/>
        </w:rPr>
        <w:t>National Agencies and Programs Supporting DeafBlind Individuals and Families</w:t>
      </w:r>
    </w:p>
    <w:p w14:paraId="69016504" w14:textId="710DFCE0" w:rsidR="009025DC" w:rsidRPr="00557D43" w:rsidRDefault="009025DC" w:rsidP="009025DC">
      <w:pPr>
        <w:jc w:val="center"/>
        <w:rPr>
          <w:rFonts w:ascii="Arial" w:hAnsi="Arial" w:cs="Arial"/>
          <w:sz w:val="28"/>
          <w:szCs w:val="28"/>
        </w:rPr>
      </w:pPr>
    </w:p>
    <w:p w14:paraId="75F23DA2" w14:textId="111836F7" w:rsidR="009025DC" w:rsidRPr="00557D43" w:rsidRDefault="009025DC" w:rsidP="009025DC">
      <w:pPr>
        <w:jc w:val="center"/>
        <w:rPr>
          <w:rFonts w:ascii="Arial" w:hAnsi="Arial" w:cs="Arial"/>
          <w:sz w:val="28"/>
          <w:szCs w:val="28"/>
        </w:rPr>
      </w:pPr>
      <w:r w:rsidRPr="00557D43">
        <w:rPr>
          <w:rFonts w:ascii="Arial" w:hAnsi="Arial" w:cs="Arial"/>
          <w:sz w:val="28"/>
          <w:szCs w:val="28"/>
        </w:rPr>
        <w:t>Below is a list of resources that may be helpful for DeafBlind people and their family members/loved ones.  This list is not exhaustive.</w:t>
      </w:r>
    </w:p>
    <w:p w14:paraId="6933705A" w14:textId="77777777" w:rsidR="009025DC" w:rsidRDefault="009025DC" w:rsidP="009025DC">
      <w:pPr>
        <w:jc w:val="center"/>
        <w:rPr>
          <w:color w:val="0A2F41" w:themeColor="accent1" w:themeShade="80"/>
        </w:rPr>
      </w:pPr>
      <w:r w:rsidRPr="00557D43">
        <w:rPr>
          <w:rFonts w:ascii="Arial" w:hAnsi="Arial" w:cs="Arial"/>
          <w:b/>
          <w:bCs/>
          <w:sz w:val="28"/>
          <w:szCs w:val="28"/>
        </w:rPr>
        <w:t xml:space="preserve">Find and contact your regional representative </w:t>
      </w:r>
      <w:hyperlink r:id="rId6" w:history="1">
        <w:r w:rsidRPr="00A62FA9">
          <w:rPr>
            <w:rStyle w:val="Hyperlink"/>
            <w:rFonts w:ascii="Arial" w:hAnsi="Arial" w:cs="Arial"/>
            <w:b/>
            <w:bCs/>
            <w:color w:val="0A2F41" w:themeColor="accent1" w:themeShade="80"/>
            <w:sz w:val="28"/>
            <w:szCs w:val="28"/>
          </w:rPr>
          <w:t>here</w:t>
        </w:r>
      </w:hyperlink>
      <w:r w:rsidRPr="00557D43">
        <w:rPr>
          <w:rFonts w:ascii="Arial" w:hAnsi="Arial" w:cs="Arial"/>
          <w:b/>
          <w:bCs/>
          <w:sz w:val="28"/>
          <w:szCs w:val="28"/>
        </w:rPr>
        <w:t xml:space="preserve"> for state-specific resources and please register on our </w:t>
      </w:r>
      <w:hyperlink r:id="rId7" w:history="1">
        <w:r w:rsidRPr="00A62FA9">
          <w:rPr>
            <w:rStyle w:val="Hyperlink"/>
            <w:rFonts w:ascii="Arial" w:hAnsi="Arial" w:cs="Arial"/>
            <w:b/>
            <w:bCs/>
            <w:color w:val="0A2F41" w:themeColor="accent1" w:themeShade="80"/>
            <w:sz w:val="28"/>
            <w:szCs w:val="28"/>
          </w:rPr>
          <w:t>National Registry</w:t>
        </w:r>
      </w:hyperlink>
    </w:p>
    <w:p w14:paraId="56E6E526" w14:textId="77777777" w:rsidR="0053750C" w:rsidRDefault="0053750C" w:rsidP="008232EF">
      <w:pPr>
        <w:pStyle w:val="Heading2"/>
      </w:pPr>
    </w:p>
    <w:p w14:paraId="55EE87ED" w14:textId="6C2B5EF6" w:rsidR="008232EF" w:rsidRDefault="008232EF" w:rsidP="008232EF">
      <w:pPr>
        <w:pStyle w:val="Heading2"/>
      </w:pPr>
      <w:r>
        <w:t xml:space="preserve">Table of Contents: </w:t>
      </w:r>
    </w:p>
    <w:p w14:paraId="1AA7A08D" w14:textId="4316715A" w:rsidR="008232EF" w:rsidRPr="0053750C" w:rsidRDefault="008232EF" w:rsidP="0053750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="Arial"/>
          <w:color w:val="0A2F41" w:themeColor="accent1" w:themeShade="80"/>
          <w:szCs w:val="28"/>
        </w:rPr>
      </w:pPr>
      <w:hyperlink w:anchor="_National_Training,_Technical" w:history="1">
        <w:r w:rsidRPr="0053750C">
          <w:rPr>
            <w:rStyle w:val="Hyperlink"/>
            <w:rFonts w:cs="Arial"/>
            <w:color w:val="0A2F41" w:themeColor="accent1" w:themeShade="80"/>
            <w:szCs w:val="28"/>
          </w:rPr>
          <w:t>National Training, Technical Assistance and Adult Services</w:t>
        </w:r>
      </w:hyperlink>
    </w:p>
    <w:p w14:paraId="643DD28E" w14:textId="6A405EC9" w:rsidR="008232EF" w:rsidRPr="0053750C" w:rsidRDefault="008232EF" w:rsidP="0053750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="Arial"/>
          <w:color w:val="0A2F41" w:themeColor="accent1" w:themeShade="80"/>
          <w:szCs w:val="28"/>
        </w:rPr>
      </w:pPr>
      <w:hyperlink w:anchor="_Advocacy_and_Community" w:history="1">
        <w:r w:rsidRPr="0053750C">
          <w:rPr>
            <w:rStyle w:val="Hyperlink"/>
            <w:rFonts w:cs="Arial"/>
            <w:color w:val="0A2F41" w:themeColor="accent1" w:themeShade="80"/>
            <w:szCs w:val="28"/>
          </w:rPr>
          <w:t>Advocacy and Community Organizations</w:t>
        </w:r>
      </w:hyperlink>
    </w:p>
    <w:p w14:paraId="3E012E3A" w14:textId="5277BC20" w:rsidR="008232EF" w:rsidRPr="0053750C" w:rsidRDefault="00B179AA" w:rsidP="0053750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="Arial"/>
          <w:color w:val="0A2F41" w:themeColor="accent1" w:themeShade="80"/>
          <w:szCs w:val="28"/>
        </w:rPr>
      </w:pPr>
      <w:hyperlink w:anchor="_Medical_and_Condition-Specific" w:history="1">
        <w:r w:rsidRPr="0053750C">
          <w:rPr>
            <w:rStyle w:val="Hyperlink"/>
            <w:rFonts w:cs="Arial"/>
            <w:color w:val="0A2F41" w:themeColor="accent1" w:themeShade="80"/>
            <w:szCs w:val="28"/>
          </w:rPr>
          <w:t>Medical and Condition Specific Organizations</w:t>
        </w:r>
      </w:hyperlink>
    </w:p>
    <w:p w14:paraId="58926ADC" w14:textId="6B535641" w:rsidR="00B179AA" w:rsidRPr="0053750C" w:rsidRDefault="00B179AA" w:rsidP="0053750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="Arial"/>
          <w:color w:val="0A2F41" w:themeColor="accent1" w:themeShade="80"/>
          <w:szCs w:val="28"/>
        </w:rPr>
      </w:pPr>
      <w:hyperlink w:anchor="_Family,_Youth_and" w:history="1">
        <w:r w:rsidRPr="0053750C">
          <w:rPr>
            <w:rStyle w:val="Hyperlink"/>
            <w:rFonts w:cs="Arial"/>
            <w:color w:val="0A2F41" w:themeColor="accent1" w:themeShade="80"/>
            <w:szCs w:val="28"/>
          </w:rPr>
          <w:t xml:space="preserve">Family, Youth and Early Intervention </w:t>
        </w:r>
        <w:r w:rsidR="0053750C" w:rsidRPr="0053750C">
          <w:rPr>
            <w:rStyle w:val="Hyperlink"/>
            <w:rFonts w:cs="Arial"/>
            <w:color w:val="0A2F41" w:themeColor="accent1" w:themeShade="80"/>
            <w:szCs w:val="28"/>
          </w:rPr>
          <w:t>Resources</w:t>
        </w:r>
      </w:hyperlink>
    </w:p>
    <w:p w14:paraId="2C583184" w14:textId="4D0C09A2" w:rsidR="0053750C" w:rsidRPr="0053750C" w:rsidRDefault="0053750C" w:rsidP="0053750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="Arial"/>
          <w:color w:val="0A2F41" w:themeColor="accent1" w:themeShade="80"/>
          <w:szCs w:val="28"/>
        </w:rPr>
      </w:pPr>
      <w:hyperlink w:anchor="_Independent_Living_and" w:history="1">
        <w:r w:rsidRPr="0053750C">
          <w:rPr>
            <w:rStyle w:val="Hyperlink"/>
            <w:rFonts w:cs="Arial"/>
            <w:color w:val="0A2F41" w:themeColor="accent1" w:themeShade="80"/>
            <w:szCs w:val="28"/>
          </w:rPr>
          <w:t>Independent Living and Local Support Organizations</w:t>
        </w:r>
      </w:hyperlink>
    </w:p>
    <w:p w14:paraId="756A1A50" w14:textId="77777777" w:rsidR="009025DC" w:rsidRPr="0042013E" w:rsidRDefault="009025DC" w:rsidP="009025D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BB0694" w14:textId="5EEA8997" w:rsidR="009025DC" w:rsidRPr="009025DC" w:rsidRDefault="009025DC" w:rsidP="009025DC">
      <w:pPr>
        <w:pStyle w:val="Heading2"/>
        <w:rPr>
          <w:rFonts w:cs="Arial"/>
        </w:rPr>
      </w:pPr>
      <w:bookmarkStart w:id="1" w:name="_National_Training,_Technical"/>
      <w:bookmarkEnd w:id="1"/>
      <w:r w:rsidRPr="009025DC">
        <w:rPr>
          <w:rFonts w:cs="Arial"/>
        </w:rPr>
        <w:t xml:space="preserve">National </w:t>
      </w:r>
      <w:r w:rsidR="00813E7F">
        <w:rPr>
          <w:rFonts w:cs="Arial"/>
        </w:rPr>
        <w:t>Training, Technical Assistance and Adult Services</w:t>
      </w:r>
    </w:p>
    <w:p w14:paraId="2BF819CF" w14:textId="77777777" w:rsidR="009025DC" w:rsidRPr="00A62FA9" w:rsidRDefault="009025DC" w:rsidP="009025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8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Helen Keller National Center</w:t>
        </w:r>
      </w:hyperlink>
    </w:p>
    <w:p w14:paraId="1F35040E" w14:textId="38CAF30C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 w:rsidRPr="00813E7F">
        <w:rPr>
          <w:szCs w:val="28"/>
        </w:rPr>
        <w:t xml:space="preserve">National center </w:t>
      </w:r>
      <w:proofErr w:type="gramStart"/>
      <w:r w:rsidRPr="00813E7F">
        <w:rPr>
          <w:szCs w:val="28"/>
        </w:rPr>
        <w:t>providing</w:t>
      </w:r>
      <w:proofErr w:type="gramEnd"/>
      <w:r w:rsidRPr="00813E7F">
        <w:rPr>
          <w:szCs w:val="28"/>
        </w:rPr>
        <w:t xml:space="preserve"> training, vocational rehabilitation and technical assistance for youth and adults who are DeafBlind.</w:t>
      </w:r>
    </w:p>
    <w:p w14:paraId="6802F3F6" w14:textId="77777777" w:rsidR="009025DC" w:rsidRPr="00A62FA9" w:rsidRDefault="009025DC" w:rsidP="009025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9" w:history="1">
        <w:proofErr w:type="spellStart"/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iCanConnect</w:t>
        </w:r>
        <w:proofErr w:type="spellEnd"/>
      </w:hyperlink>
    </w:p>
    <w:p w14:paraId="52B6F2A2" w14:textId="1DC4003A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 w:rsidRPr="00813E7F">
        <w:rPr>
          <w:szCs w:val="28"/>
        </w:rPr>
        <w:t xml:space="preserve">Provides free communication </w:t>
      </w:r>
      <w:r>
        <w:rPr>
          <w:szCs w:val="28"/>
        </w:rPr>
        <w:t>technology, equipment and training to people with combined hearing and vision loss who meet eligibility Requirements</w:t>
      </w:r>
    </w:p>
    <w:p w14:paraId="5830E4CC" w14:textId="77777777" w:rsidR="00813E7F" w:rsidRPr="00A62FA9" w:rsidRDefault="00813E7F" w:rsidP="00813E7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0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Lighthouse Guild</w:t>
        </w:r>
      </w:hyperlink>
    </w:p>
    <w:p w14:paraId="5DD82739" w14:textId="60BE68BD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lastRenderedPageBreak/>
        <w:t xml:space="preserve">Vision rehabilitation services </w:t>
      </w:r>
      <w:proofErr w:type="gramStart"/>
      <w:r>
        <w:t>including</w:t>
      </w:r>
      <w:proofErr w:type="gramEnd"/>
      <w:r>
        <w:t xml:space="preserve"> healthcare, technology training, and support programs for people with vision loss, including DeafBlind individuals.</w:t>
      </w:r>
    </w:p>
    <w:p w14:paraId="46BBF9B8" w14:textId="77777777" w:rsidR="00813E7F" w:rsidRPr="00A62FA9" w:rsidRDefault="00813E7F" w:rsidP="00813E7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1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Perkins</w:t>
        </w:r>
      </w:hyperlink>
    </w:p>
    <w:p w14:paraId="127A4F08" w14:textId="6EBB7D3E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Education, resources, and professional training focused on children and young adults who are blind or DeafBlind.</w:t>
      </w:r>
    </w:p>
    <w:p w14:paraId="366029F5" w14:textId="77777777" w:rsidR="00813E7F" w:rsidRDefault="00813E7F" w:rsidP="00813E7F">
      <w:pPr>
        <w:spacing w:before="120" w:after="120"/>
        <w:rPr>
          <w:rFonts w:cs="Arial"/>
          <w:szCs w:val="28"/>
        </w:rPr>
      </w:pPr>
    </w:p>
    <w:p w14:paraId="67474E7F" w14:textId="77777777" w:rsidR="00813E7F" w:rsidRDefault="00813E7F" w:rsidP="00813E7F">
      <w:pPr>
        <w:spacing w:before="120" w:after="120"/>
        <w:rPr>
          <w:rFonts w:cs="Arial"/>
          <w:szCs w:val="28"/>
        </w:rPr>
      </w:pPr>
    </w:p>
    <w:p w14:paraId="20BEEC79" w14:textId="77777777" w:rsidR="00813E7F" w:rsidRDefault="00813E7F" w:rsidP="00813E7F">
      <w:pPr>
        <w:spacing w:before="120" w:after="120"/>
        <w:rPr>
          <w:rFonts w:cs="Arial"/>
          <w:szCs w:val="28"/>
        </w:rPr>
      </w:pPr>
    </w:p>
    <w:p w14:paraId="4C0E6793" w14:textId="77777777" w:rsidR="00813E7F" w:rsidRPr="00813E7F" w:rsidRDefault="00813E7F" w:rsidP="00813E7F">
      <w:pPr>
        <w:spacing w:before="120" w:after="120"/>
        <w:rPr>
          <w:rFonts w:cs="Arial"/>
          <w:szCs w:val="28"/>
        </w:rPr>
      </w:pPr>
    </w:p>
    <w:p w14:paraId="5456156F" w14:textId="3EBA9A8C" w:rsidR="009025DC" w:rsidRPr="00A62FA9" w:rsidRDefault="00813E7F" w:rsidP="009025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2" w:history="1">
        <w:r w:rsidRPr="00A62FA9">
          <w:rPr>
            <w:rStyle w:val="Hyperlink"/>
            <w:b/>
            <w:bCs/>
            <w:color w:val="0A2F41" w:themeColor="accent1" w:themeShade="80"/>
            <w:szCs w:val="28"/>
          </w:rPr>
          <w:t>National Federation of the Blind: DeafBlind Resources</w:t>
        </w:r>
      </w:hyperlink>
    </w:p>
    <w:p w14:paraId="5D2F612F" w14:textId="7FA74331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Advocacy, information, and community resources specific to blind and DeafBlind individuals.</w:t>
      </w:r>
    </w:p>
    <w:p w14:paraId="2B0382D6" w14:textId="77777777" w:rsidR="00813E7F" w:rsidRDefault="00813E7F" w:rsidP="00813E7F">
      <w:pPr>
        <w:pStyle w:val="Heading2"/>
      </w:pPr>
    </w:p>
    <w:p w14:paraId="12085E46" w14:textId="322B3D91" w:rsidR="00813E7F" w:rsidRDefault="00813E7F" w:rsidP="00813E7F">
      <w:pPr>
        <w:pStyle w:val="Heading2"/>
      </w:pPr>
      <w:bookmarkStart w:id="2" w:name="_Advocacy_and_Community"/>
      <w:bookmarkEnd w:id="2"/>
      <w:r>
        <w:t>Advocacy and Community Organizations</w:t>
      </w:r>
    </w:p>
    <w:p w14:paraId="1DE73A72" w14:textId="77777777" w:rsidR="00813E7F" w:rsidRPr="00813E7F" w:rsidRDefault="00813E7F" w:rsidP="00813E7F">
      <w:pPr>
        <w:rPr>
          <w:b/>
          <w:bCs/>
        </w:rPr>
      </w:pPr>
    </w:p>
    <w:p w14:paraId="1DA6AEBA" w14:textId="77777777" w:rsidR="00813E7F" w:rsidRPr="00A62FA9" w:rsidRDefault="00813E7F" w:rsidP="00813E7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3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American Association of the DeafBlind</w:t>
        </w:r>
      </w:hyperlink>
    </w:p>
    <w:p w14:paraId="2845D3C6" w14:textId="6B821450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 xml:space="preserve">National membership </w:t>
      </w:r>
      <w:proofErr w:type="gramStart"/>
      <w:r>
        <w:t>organization promoting</w:t>
      </w:r>
      <w:proofErr w:type="gramEnd"/>
      <w:r>
        <w:t xml:space="preserve"> community, leadership, and advocacy led by deafblind individuals.</w:t>
      </w:r>
    </w:p>
    <w:p w14:paraId="3D4240AD" w14:textId="77777777" w:rsidR="00813E7F" w:rsidRPr="00A62FA9" w:rsidRDefault="00813E7F" w:rsidP="00813E7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4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DeafBlind Citizens in Action</w:t>
        </w:r>
      </w:hyperlink>
      <w:r w:rsidRPr="00A62FA9">
        <w:rPr>
          <w:rFonts w:cs="Arial"/>
          <w:b/>
          <w:bCs/>
          <w:color w:val="0A2F41" w:themeColor="accent1" w:themeShade="80"/>
          <w:szCs w:val="28"/>
        </w:rPr>
        <w:t xml:space="preserve"> </w:t>
      </w:r>
    </w:p>
    <w:p w14:paraId="58D27A32" w14:textId="27E5C295" w:rsidR="00813E7F" w:rsidRPr="00813E7F" w:rsidRDefault="00813E7F" w:rsidP="00813E7F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813E7F">
        <w:rPr>
          <w:rFonts w:ascii="Arial" w:hAnsi="Arial" w:cs="Arial"/>
          <w:sz w:val="28"/>
          <w:szCs w:val="28"/>
        </w:rPr>
        <w:t xml:space="preserve">Advocacy </w:t>
      </w:r>
      <w:proofErr w:type="gramStart"/>
      <w:r w:rsidRPr="00813E7F">
        <w:rPr>
          <w:rFonts w:ascii="Arial" w:hAnsi="Arial" w:cs="Arial"/>
          <w:sz w:val="28"/>
          <w:szCs w:val="28"/>
        </w:rPr>
        <w:t>organization</w:t>
      </w:r>
      <w:proofErr w:type="gramEnd"/>
      <w:r w:rsidRPr="00813E7F">
        <w:rPr>
          <w:rFonts w:ascii="Arial" w:hAnsi="Arial" w:cs="Arial"/>
          <w:sz w:val="28"/>
          <w:szCs w:val="28"/>
        </w:rPr>
        <w:t xml:space="preserve"> focused on civil rights, accessibility, and policy impacting </w:t>
      </w:r>
      <w:r>
        <w:rPr>
          <w:rFonts w:ascii="Arial" w:hAnsi="Arial" w:cs="Arial"/>
          <w:sz w:val="28"/>
          <w:szCs w:val="28"/>
        </w:rPr>
        <w:t xml:space="preserve">DeafBlind </w:t>
      </w:r>
      <w:r w:rsidRPr="00813E7F">
        <w:rPr>
          <w:rFonts w:ascii="Arial" w:hAnsi="Arial" w:cs="Arial"/>
          <w:sz w:val="28"/>
          <w:szCs w:val="28"/>
        </w:rPr>
        <w:t>people.</w:t>
      </w:r>
    </w:p>
    <w:p w14:paraId="058120D7" w14:textId="77777777" w:rsidR="009025DC" w:rsidRPr="00A62FA9" w:rsidRDefault="009025DC" w:rsidP="009025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5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National Family Association for Deaf Blind</w:t>
        </w:r>
      </w:hyperlink>
    </w:p>
    <w:p w14:paraId="71F13AD5" w14:textId="163CD81F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Family-led support network providing connection, resources, and advocacy for families of DeafBlind individuals.</w:t>
      </w:r>
    </w:p>
    <w:p w14:paraId="176D8E9B" w14:textId="77777777" w:rsidR="00813E7F" w:rsidRPr="00A62FA9" w:rsidRDefault="00813E7F" w:rsidP="00813E7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6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Hands and Voices</w:t>
        </w:r>
      </w:hyperlink>
    </w:p>
    <w:p w14:paraId="4CC23730" w14:textId="59D42F6E" w:rsidR="00813E7F" w:rsidRPr="00813E7F" w:rsidRDefault="00813E7F" w:rsidP="00813E7F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b/>
          <w:bCs/>
          <w:szCs w:val="28"/>
        </w:rPr>
      </w:pPr>
      <w:r>
        <w:t>Parent-driven organization supporting families of children who are deaf or hard of hearing, including those with additional disabilities.</w:t>
      </w:r>
    </w:p>
    <w:p w14:paraId="0DE32767" w14:textId="1676D0A2" w:rsidR="00813E7F" w:rsidRDefault="00557D43" w:rsidP="00557D43">
      <w:pPr>
        <w:pStyle w:val="Heading2"/>
      </w:pPr>
      <w:bookmarkStart w:id="3" w:name="_Medical_and_Condition-Specific"/>
      <w:bookmarkEnd w:id="3"/>
      <w:r>
        <w:lastRenderedPageBreak/>
        <w:t>Medical and Condition-Specific Organizations</w:t>
      </w:r>
    </w:p>
    <w:p w14:paraId="0C2E72B9" w14:textId="77777777" w:rsidR="00557D43" w:rsidRPr="00A62FA9" w:rsidRDefault="00557D43" w:rsidP="00557D4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7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Charge Syndrome Foundation</w:t>
        </w:r>
      </w:hyperlink>
    </w:p>
    <w:p w14:paraId="621B0243" w14:textId="3CFF44AF" w:rsidR="00557D43" w:rsidRPr="00557D43" w:rsidRDefault="00557D43" w:rsidP="00557D43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Education, research, and family support related to CHARGE syndrome.</w:t>
      </w:r>
    </w:p>
    <w:p w14:paraId="44C2AEE3" w14:textId="77777777" w:rsidR="00557D43" w:rsidRPr="00A62FA9" w:rsidRDefault="00557D43" w:rsidP="00557D4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8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Usher Syndrome Coalition</w:t>
        </w:r>
      </w:hyperlink>
    </w:p>
    <w:p w14:paraId="2081847A" w14:textId="48A81713" w:rsidR="00557D43" w:rsidRPr="00813E7F" w:rsidRDefault="00557D43" w:rsidP="00557D43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Resources, research updates, and community connection for individuals with Usher syndrome.</w:t>
      </w:r>
    </w:p>
    <w:p w14:paraId="032E4A6E" w14:textId="1896D637" w:rsidR="00813E7F" w:rsidRDefault="00557D43" w:rsidP="00557D43">
      <w:pPr>
        <w:pStyle w:val="Heading2"/>
      </w:pPr>
      <w:bookmarkStart w:id="4" w:name="_Family,_Youth_and"/>
      <w:bookmarkEnd w:id="4"/>
      <w:r>
        <w:t>Family, Youth and Early Intervention Resources</w:t>
      </w:r>
    </w:p>
    <w:p w14:paraId="2944A30A" w14:textId="77777777" w:rsidR="00813E7F" w:rsidRPr="00813E7F" w:rsidRDefault="00813E7F" w:rsidP="00813E7F">
      <w:pPr>
        <w:spacing w:before="120" w:after="120"/>
        <w:rPr>
          <w:rFonts w:cs="Arial"/>
          <w:szCs w:val="28"/>
        </w:rPr>
      </w:pPr>
    </w:p>
    <w:p w14:paraId="45D57F98" w14:textId="158B7BFC" w:rsidR="009025DC" w:rsidRPr="00A62FA9" w:rsidRDefault="00557D43" w:rsidP="009025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19" w:history="1">
        <w:r w:rsidRPr="00A62FA9">
          <w:rPr>
            <w:rStyle w:val="Hyperlink"/>
            <w:b/>
            <w:bCs/>
            <w:color w:val="0A2F41" w:themeColor="accent1" w:themeShade="80"/>
            <w:szCs w:val="28"/>
          </w:rPr>
          <w:t>National Center on Deaf-Blindness</w:t>
        </w:r>
      </w:hyperlink>
    </w:p>
    <w:p w14:paraId="44056B53" w14:textId="55116132" w:rsidR="00557D43" w:rsidRPr="00557D43" w:rsidRDefault="00557D43" w:rsidP="00557D43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b/>
          <w:bCs/>
          <w:szCs w:val="28"/>
        </w:rPr>
      </w:pPr>
      <w:r>
        <w:t>A national technical assistance center that supports states, educators, and families in improving services and outcomes for children and youth who are DeafBlind through training, research, and practical resources.</w:t>
      </w:r>
    </w:p>
    <w:p w14:paraId="49BCBD58" w14:textId="033FDCC7" w:rsidR="00557D43" w:rsidRPr="00A62FA9" w:rsidRDefault="00557D43" w:rsidP="00557D4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20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National List of State DeafBlind Projects (For ages 0-21)</w:t>
        </w:r>
      </w:hyperlink>
    </w:p>
    <w:p w14:paraId="05F1DACE" w14:textId="401B8EB1" w:rsidR="00557D43" w:rsidRPr="00557D43" w:rsidRDefault="00557D43" w:rsidP="00557D43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State programs that provide early intervention, educational support, and technical assistance for children and youth who are DeafBlind.</w:t>
      </w:r>
    </w:p>
    <w:p w14:paraId="6FDC3777" w14:textId="77777777" w:rsidR="00557D43" w:rsidRDefault="00557D43" w:rsidP="00557D43">
      <w:pPr>
        <w:spacing w:before="120" w:after="120"/>
        <w:rPr>
          <w:rFonts w:cs="Arial"/>
          <w:szCs w:val="28"/>
        </w:rPr>
      </w:pPr>
    </w:p>
    <w:p w14:paraId="4EFA0F14" w14:textId="74707ED7" w:rsidR="00557D43" w:rsidRPr="00557D43" w:rsidRDefault="00557D43" w:rsidP="00557D43">
      <w:pPr>
        <w:pStyle w:val="Heading2"/>
      </w:pPr>
      <w:bookmarkStart w:id="5" w:name="_Independent_Living_and"/>
      <w:bookmarkEnd w:id="5"/>
      <w:r>
        <w:t>Independent Living and Local Support Navigation</w:t>
      </w:r>
    </w:p>
    <w:p w14:paraId="00823D12" w14:textId="77777777" w:rsidR="009025DC" w:rsidRPr="00A62FA9" w:rsidRDefault="009025DC" w:rsidP="009025D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="Arial"/>
          <w:b/>
          <w:bCs/>
          <w:color w:val="0A2F41" w:themeColor="accent1" w:themeShade="80"/>
          <w:szCs w:val="28"/>
        </w:rPr>
      </w:pPr>
      <w:hyperlink r:id="rId21" w:history="1">
        <w:r w:rsidRPr="00A62FA9">
          <w:rPr>
            <w:rStyle w:val="Hyperlink"/>
            <w:rFonts w:cs="Arial"/>
            <w:b/>
            <w:bCs/>
            <w:color w:val="0A2F41" w:themeColor="accent1" w:themeShade="80"/>
            <w:szCs w:val="28"/>
          </w:rPr>
          <w:t>Directory of Centers for Independent Living</w:t>
        </w:r>
      </w:hyperlink>
    </w:p>
    <w:p w14:paraId="03154DAA" w14:textId="23C380A8" w:rsidR="00557D43" w:rsidRPr="00813E7F" w:rsidRDefault="00557D43" w:rsidP="00557D43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cs="Arial"/>
          <w:szCs w:val="28"/>
        </w:rPr>
      </w:pPr>
      <w:r>
        <w:t>Nationwide directory of community-based organizations that support independent living for people with disabilities.</w:t>
      </w:r>
    </w:p>
    <w:p w14:paraId="532FA435" w14:textId="77777777" w:rsidR="009025DC" w:rsidRDefault="009025DC" w:rsidP="009025DC"/>
    <w:p w14:paraId="5428A721" w14:textId="77777777" w:rsidR="009025DC" w:rsidRDefault="009025DC"/>
    <w:sectPr w:rsidR="009025DC" w:rsidSect="009025DC">
      <w:pgSz w:w="12240" w:h="15840"/>
      <w:pgMar w:top="1440" w:right="1440" w:bottom="1440" w:left="144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8A2"/>
    <w:multiLevelType w:val="hybridMultilevel"/>
    <w:tmpl w:val="4FF6ED26"/>
    <w:lvl w:ilvl="0" w:tplc="5A1E91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5564"/>
    <w:multiLevelType w:val="hybridMultilevel"/>
    <w:tmpl w:val="3AE8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81072">
    <w:abstractNumId w:val="1"/>
  </w:num>
  <w:num w:numId="2" w16cid:durableId="185106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DC"/>
    <w:rsid w:val="00027022"/>
    <w:rsid w:val="000F4AC7"/>
    <w:rsid w:val="000F63D9"/>
    <w:rsid w:val="0013674C"/>
    <w:rsid w:val="00184761"/>
    <w:rsid w:val="00261B8D"/>
    <w:rsid w:val="00350E78"/>
    <w:rsid w:val="0036451B"/>
    <w:rsid w:val="00391845"/>
    <w:rsid w:val="003A783B"/>
    <w:rsid w:val="004651F2"/>
    <w:rsid w:val="004F33C9"/>
    <w:rsid w:val="004F4C0E"/>
    <w:rsid w:val="0053470D"/>
    <w:rsid w:val="0053750C"/>
    <w:rsid w:val="00557D43"/>
    <w:rsid w:val="00633347"/>
    <w:rsid w:val="006C4FB5"/>
    <w:rsid w:val="007F12D9"/>
    <w:rsid w:val="00813E7F"/>
    <w:rsid w:val="008232EF"/>
    <w:rsid w:val="008C19AF"/>
    <w:rsid w:val="009025DC"/>
    <w:rsid w:val="009507E6"/>
    <w:rsid w:val="00987FEE"/>
    <w:rsid w:val="009A0EEC"/>
    <w:rsid w:val="009E4A59"/>
    <w:rsid w:val="009E556A"/>
    <w:rsid w:val="00A03D70"/>
    <w:rsid w:val="00A43F45"/>
    <w:rsid w:val="00A62FA9"/>
    <w:rsid w:val="00AA2A8A"/>
    <w:rsid w:val="00AD055D"/>
    <w:rsid w:val="00B02CB6"/>
    <w:rsid w:val="00B179AA"/>
    <w:rsid w:val="00B47250"/>
    <w:rsid w:val="00B6658E"/>
    <w:rsid w:val="00B831E4"/>
    <w:rsid w:val="00C1054D"/>
    <w:rsid w:val="00CC2A44"/>
    <w:rsid w:val="00CC5BA6"/>
    <w:rsid w:val="00CC5DAF"/>
    <w:rsid w:val="00D06EC9"/>
    <w:rsid w:val="00D37997"/>
    <w:rsid w:val="00D8090C"/>
    <w:rsid w:val="00E753DA"/>
    <w:rsid w:val="00E9458F"/>
    <w:rsid w:val="00EB5994"/>
    <w:rsid w:val="00F41F23"/>
    <w:rsid w:val="00F83267"/>
    <w:rsid w:val="00F92588"/>
    <w:rsid w:val="00FA19D5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0207"/>
  <w15:chartTrackingRefBased/>
  <w15:docId w15:val="{3E5A7C2E-E4E1-B44D-B2EE-6F44DA6B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D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845"/>
    <w:pPr>
      <w:keepNext/>
      <w:keepLines/>
      <w:spacing w:before="360" w:after="80" w:line="279" w:lineRule="auto"/>
      <w:jc w:val="center"/>
      <w:outlineLvl w:val="0"/>
    </w:pPr>
    <w:rPr>
      <w:rFonts w:ascii="Arial" w:eastAsiaTheme="majorEastAsia" w:hAnsi="Arial" w:cstheme="majorBidi"/>
      <w:b/>
      <w:color w:val="00206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2EF"/>
    <w:pPr>
      <w:keepNext/>
      <w:keepLines/>
      <w:spacing w:before="160" w:after="80" w:line="279" w:lineRule="auto"/>
      <w:outlineLvl w:val="1"/>
    </w:pPr>
    <w:rPr>
      <w:rFonts w:ascii="Arial" w:eastAsiaTheme="majorEastAsia" w:hAnsi="Arial" w:cstheme="majorBidi"/>
      <w:b/>
      <w:color w:val="78000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2D9"/>
    <w:pPr>
      <w:keepNext/>
      <w:keepLines/>
      <w:spacing w:before="160" w:after="80" w:line="278" w:lineRule="auto"/>
      <w:outlineLvl w:val="2"/>
    </w:pPr>
    <w:rPr>
      <w:rFonts w:ascii="Arial" w:eastAsiaTheme="majorEastAsia" w:hAnsi="Arial" w:cstheme="majorBidi"/>
      <w:b/>
      <w:color w:val="153D63" w:themeColor="text2" w:themeTint="E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5DC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5DC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5DC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5DC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5DC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5DC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45"/>
    <w:rPr>
      <w:rFonts w:ascii="Arial" w:eastAsiaTheme="majorEastAsia" w:hAnsi="Arial" w:cstheme="majorBidi"/>
      <w:b/>
      <w:color w:val="00206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32EF"/>
    <w:rPr>
      <w:rFonts w:ascii="Arial" w:eastAsiaTheme="majorEastAsia" w:hAnsi="Arial" w:cstheme="majorBidi"/>
      <w:b/>
      <w:color w:val="78000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12D9"/>
    <w:rPr>
      <w:rFonts w:ascii="Arial" w:eastAsiaTheme="majorEastAsia" w:hAnsi="Arial" w:cstheme="majorBidi"/>
      <w:b/>
      <w:color w:val="153D63" w:themeColor="text2" w:themeTint="E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5DC"/>
    <w:rPr>
      <w:rFonts w:eastAsiaTheme="majorEastAsia" w:cstheme="majorBidi"/>
      <w:i/>
      <w:iCs/>
      <w:color w:val="0F4761" w:themeColor="accent1" w:themeShade="BF"/>
      <w:kern w:val="0"/>
      <w:sz w:val="28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DC"/>
    <w:rPr>
      <w:rFonts w:eastAsiaTheme="majorEastAsia" w:cstheme="majorBidi"/>
      <w:color w:val="0F4761" w:themeColor="accent1" w:themeShade="BF"/>
      <w:kern w:val="0"/>
      <w:sz w:val="28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DC"/>
    <w:rPr>
      <w:rFonts w:eastAsiaTheme="majorEastAsia" w:cstheme="majorBidi"/>
      <w:i/>
      <w:iCs/>
      <w:color w:val="595959" w:themeColor="text1" w:themeTint="A6"/>
      <w:kern w:val="0"/>
      <w:sz w:val="28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DC"/>
    <w:rPr>
      <w:rFonts w:eastAsiaTheme="majorEastAsia" w:cstheme="majorBidi"/>
      <w:color w:val="595959" w:themeColor="text1" w:themeTint="A6"/>
      <w:kern w:val="0"/>
      <w:sz w:val="28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DC"/>
    <w:rPr>
      <w:rFonts w:eastAsiaTheme="majorEastAsia" w:cstheme="majorBidi"/>
      <w:i/>
      <w:iCs/>
      <w:color w:val="272727" w:themeColor="text1" w:themeTint="D8"/>
      <w:kern w:val="0"/>
      <w:sz w:val="28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DC"/>
    <w:rPr>
      <w:rFonts w:eastAsiaTheme="majorEastAsia" w:cstheme="majorBidi"/>
      <w:color w:val="272727" w:themeColor="text1" w:themeTint="D8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2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DC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25DC"/>
    <w:pPr>
      <w:spacing w:before="160" w:line="276" w:lineRule="auto"/>
      <w:jc w:val="center"/>
    </w:pPr>
    <w:rPr>
      <w:rFonts w:ascii="Arial" w:eastAsiaTheme="minorEastAsia" w:hAnsi="Arial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9025DC"/>
    <w:rPr>
      <w:rFonts w:ascii="Arial" w:eastAsiaTheme="minorEastAsia" w:hAnsi="Arial"/>
      <w:i/>
      <w:iCs/>
      <w:color w:val="404040" w:themeColor="text1" w:themeTint="BF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9025DC"/>
    <w:pPr>
      <w:spacing w:after="200" w:line="276" w:lineRule="auto"/>
      <w:ind w:left="720"/>
      <w:contextualSpacing/>
    </w:pPr>
    <w:rPr>
      <w:rFonts w:ascii="Arial" w:eastAsiaTheme="minorEastAsia" w:hAnsi="Arial"/>
      <w:sz w:val="28"/>
    </w:rPr>
  </w:style>
  <w:style w:type="character" w:styleId="IntenseEmphasis">
    <w:name w:val="Intense Emphasis"/>
    <w:basedOn w:val="DefaultParagraphFont"/>
    <w:uiPriority w:val="21"/>
    <w:qFormat/>
    <w:rsid w:val="00902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Arial" w:eastAsiaTheme="minorEastAsia" w:hAnsi="Arial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DC"/>
    <w:rPr>
      <w:rFonts w:ascii="Arial" w:eastAsiaTheme="minorEastAsia" w:hAnsi="Arial"/>
      <w:i/>
      <w:iCs/>
      <w:color w:val="0F4761" w:themeColor="accent1" w:themeShade="BF"/>
      <w:kern w:val="0"/>
      <w:sz w:val="28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2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5D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3E7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enkeller.org/" TargetMode="External"/><Relationship Id="rId13" Type="http://schemas.openxmlformats.org/officeDocument/2006/relationships/hyperlink" Target="https://www.aadb.org/" TargetMode="External"/><Relationship Id="rId18" Type="http://schemas.openxmlformats.org/officeDocument/2006/relationships/hyperlink" Target="https://www.usher-syndrom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lru.org/projects/cil-net/cil-center-and-association-directory" TargetMode="External"/><Relationship Id="rId7" Type="http://schemas.openxmlformats.org/officeDocument/2006/relationships/hyperlink" Target="https://www.helenkeller.org/hknc/national-registry/" TargetMode="External"/><Relationship Id="rId12" Type="http://schemas.openxmlformats.org/officeDocument/2006/relationships/hyperlink" Target="https://nfb.org/resources/deafblind-resources" TargetMode="External"/><Relationship Id="rId17" Type="http://schemas.openxmlformats.org/officeDocument/2006/relationships/hyperlink" Target="https://www.chargesyndrom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andsandvoices.org/index.htm" TargetMode="External"/><Relationship Id="rId20" Type="http://schemas.openxmlformats.org/officeDocument/2006/relationships/hyperlink" Target="https://www.nationaldb.org/state-deaf-blind-projec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elenkeller.org/regional-network/" TargetMode="External"/><Relationship Id="rId11" Type="http://schemas.openxmlformats.org/officeDocument/2006/relationships/hyperlink" Target="https://www.perkins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nfadb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ghthouseguild.org/" TargetMode="External"/><Relationship Id="rId19" Type="http://schemas.openxmlformats.org/officeDocument/2006/relationships/hyperlink" Target="https://www.nationald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nconnect.org/" TargetMode="External"/><Relationship Id="rId14" Type="http://schemas.openxmlformats.org/officeDocument/2006/relationships/hyperlink" Target="https://deafblindcitizensinaction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606</Words>
  <Characters>3459</Characters>
  <Application>Microsoft Office Word</Application>
  <DocSecurity>2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Sullivan</dc:creator>
  <cp:keywords/>
  <dc:description/>
  <cp:lastModifiedBy>Patricia Lynch</cp:lastModifiedBy>
  <cp:revision>3</cp:revision>
  <dcterms:created xsi:type="dcterms:W3CDTF">2026-05-14T18:22:00Z</dcterms:created>
  <dcterms:modified xsi:type="dcterms:W3CDTF">2026-05-14T18:25:00Z</dcterms:modified>
</cp:coreProperties>
</file>