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485A" w14:textId="57B68D98" w:rsidR="0018373C" w:rsidRDefault="0018373C" w:rsidP="0018373C">
      <w:pPr>
        <w:pStyle w:val="Heading1"/>
      </w:pPr>
      <w:r>
        <w:rPr>
          <w:noProof/>
        </w:rPr>
        <w:drawing>
          <wp:inline distT="0" distB="0" distL="0" distR="0" wp14:anchorId="1162E573" wp14:editId="5C21141B">
            <wp:extent cx="3554621" cy="735439"/>
            <wp:effectExtent l="0" t="0" r="0" b="0"/>
            <wp:docPr id="1568772552" name="Picture 1568772552"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72552" name="Picture 1568772552" descr="A logo with blue and re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54621" cy="735439"/>
                    </a:xfrm>
                    <a:prstGeom prst="rect">
                      <a:avLst/>
                    </a:prstGeom>
                  </pic:spPr>
                </pic:pic>
              </a:graphicData>
            </a:graphic>
          </wp:inline>
        </w:drawing>
      </w:r>
    </w:p>
    <w:p w14:paraId="4C421636" w14:textId="7A840BFA" w:rsidR="0018373C" w:rsidRDefault="0018373C" w:rsidP="0018373C">
      <w:pPr>
        <w:pStyle w:val="Heading1"/>
        <w:spacing w:before="120" w:line="240" w:lineRule="auto"/>
        <w:rPr>
          <w:rFonts w:cs="Arial"/>
        </w:rPr>
      </w:pPr>
      <w:r>
        <w:t>HKNC Technical Assistance and Training</w:t>
      </w:r>
      <w:r w:rsidR="005C426C">
        <w:t>:</w:t>
      </w:r>
      <w:r>
        <w:br/>
        <w:t>Customizable Learning Programs for Professionals Supporting DeafBlind Individuals</w:t>
      </w:r>
    </w:p>
    <w:p w14:paraId="3AE7CDE5" w14:textId="77777777" w:rsidR="0018373C" w:rsidRDefault="0018373C" w:rsidP="0018373C">
      <w:pPr>
        <w:pStyle w:val="Heading2"/>
      </w:pPr>
    </w:p>
    <w:p w14:paraId="5016B496" w14:textId="4F01A14F" w:rsidR="0018373C" w:rsidRDefault="0018373C" w:rsidP="002F4DBF">
      <w:pPr>
        <w:pStyle w:val="Heading2"/>
      </w:pPr>
      <w:r>
        <w:t>Table of Contents</w:t>
      </w:r>
    </w:p>
    <w:p w14:paraId="7BC1F1BF" w14:textId="25D14746" w:rsidR="0018373C" w:rsidRDefault="0018373C" w:rsidP="0018373C">
      <w:pPr>
        <w:pStyle w:val="ListParagraph"/>
        <w:numPr>
          <w:ilvl w:val="0"/>
          <w:numId w:val="3"/>
        </w:numPr>
      </w:pPr>
      <w:hyperlink w:anchor="_Introduction" w:history="1">
        <w:r w:rsidRPr="0018373C">
          <w:rPr>
            <w:rStyle w:val="Hyperlink"/>
          </w:rPr>
          <w:t>Introduction</w:t>
        </w:r>
      </w:hyperlink>
    </w:p>
    <w:p w14:paraId="5B2845AC" w14:textId="35DA7027" w:rsidR="0018373C" w:rsidRDefault="0018373C" w:rsidP="0018373C">
      <w:pPr>
        <w:pStyle w:val="ListParagraph"/>
        <w:numPr>
          <w:ilvl w:val="0"/>
          <w:numId w:val="3"/>
        </w:numPr>
      </w:pPr>
      <w:hyperlink w:anchor="_Menu_of_Courses" w:history="1">
        <w:r w:rsidRPr="0018373C">
          <w:rPr>
            <w:rStyle w:val="Hyperlink"/>
          </w:rPr>
          <w:t>Menu or Courses</w:t>
        </w:r>
      </w:hyperlink>
    </w:p>
    <w:p w14:paraId="3CB71D70" w14:textId="74133BCF" w:rsidR="0018373C" w:rsidRDefault="0018373C" w:rsidP="0018373C">
      <w:pPr>
        <w:pStyle w:val="ListParagraph"/>
        <w:numPr>
          <w:ilvl w:val="1"/>
          <w:numId w:val="3"/>
        </w:numPr>
      </w:pPr>
      <w:hyperlink w:anchor="_General_Courses" w:history="1">
        <w:r w:rsidRPr="0018373C">
          <w:rPr>
            <w:rStyle w:val="Hyperlink"/>
          </w:rPr>
          <w:t>General Courses</w:t>
        </w:r>
      </w:hyperlink>
    </w:p>
    <w:p w14:paraId="5027349E" w14:textId="01FB7FC4" w:rsidR="0018373C" w:rsidRPr="0018373C" w:rsidRDefault="0018373C" w:rsidP="0018373C">
      <w:pPr>
        <w:pStyle w:val="ListParagraph"/>
        <w:numPr>
          <w:ilvl w:val="1"/>
          <w:numId w:val="3"/>
        </w:numPr>
      </w:pPr>
      <w:hyperlink w:anchor="_Complex_Support_Needs" w:history="1">
        <w:r w:rsidRPr="0018373C">
          <w:rPr>
            <w:rStyle w:val="Hyperlink"/>
          </w:rPr>
          <w:t>DeafBlind Individuals with Complex Support Needs</w:t>
        </w:r>
      </w:hyperlink>
    </w:p>
    <w:p w14:paraId="4F6A69E8" w14:textId="77777777" w:rsidR="0018373C" w:rsidRDefault="0018373C" w:rsidP="0018373C">
      <w:pPr>
        <w:pStyle w:val="Heading2"/>
      </w:pPr>
    </w:p>
    <w:p w14:paraId="7487A444" w14:textId="69D299FD" w:rsidR="0018373C" w:rsidRPr="0018373C" w:rsidRDefault="0018373C" w:rsidP="0018373C">
      <w:pPr>
        <w:pStyle w:val="Heading2"/>
        <w:rPr>
          <w:rFonts w:eastAsia="Times New Roman"/>
          <w:sz w:val="24"/>
          <w:szCs w:val="24"/>
        </w:rPr>
      </w:pPr>
      <w:bookmarkStart w:id="0" w:name="_Introduction"/>
      <w:bookmarkEnd w:id="0"/>
      <w:r w:rsidRPr="0018373C">
        <w:t>Introduction</w:t>
      </w:r>
    </w:p>
    <w:p w14:paraId="12B5AAD5" w14:textId="40D8980D"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The Helen Keller National Center (HKNC) offers a flexible technical assistance and professional training model designed to support agencies and professionals who serve individuals who are DeafBlind. Rather than offering a single standardized training package, HKNC works collaboratively with each agency or professional group to develop a customized learning plan based on the needs of the organization and the individuals they serve.</w:t>
      </w:r>
    </w:p>
    <w:p w14:paraId="5E677708"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The process typically begins with a brief needs assessment and consultation with the requesting agency. Together, HKNC and the organization identify priority topics, training goals, and the types of professionals who will participate. Based on this information, HKNC develops a customized training plan that may include selected courses, discussion groups, coaching opportunities, and technical assistance.</w:t>
      </w:r>
    </w:p>
    <w:p w14:paraId="424E5CF3"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 xml:space="preserve">As part of this process, HKNC creates a private online learning hub for the participating agency or group of professionals. This hub houses the selected training modules, assignments, resources, and discussion </w:t>
      </w:r>
      <w:r w:rsidRPr="0018373C">
        <w:rPr>
          <w:rFonts w:ascii="Arial" w:hAnsi="Arial" w:cs="Arial"/>
          <w:sz w:val="28"/>
          <w:szCs w:val="28"/>
        </w:rPr>
        <w:lastRenderedPageBreak/>
        <w:t>materials, allowing participants to access courses, track progress, and engage with colleagues throughout the training process.</w:t>
      </w:r>
    </w:p>
    <w:p w14:paraId="5350B775"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HKNC generally recommends a hybrid learning model that combines self-paced online courses with facilitated discussion groups. Participants complete online modules that include interactive assignments, reflection activities, and quizzes. After completing each course or set of courses, participants meet in live discussion sessions where they can apply what they have learned to real situations, discuss challenges, and problem-solve with peers and HKNC specialists.</w:t>
      </w:r>
    </w:p>
    <w:p w14:paraId="5A9AF3E5"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These discussion groups often include DeafBlind presenters who share their personal and professional experiences, providing valuable perspectives on communication, access, and effective support strategies. Participants are encouraged to ask questions and explore practical ways to apply what they have learned in their own work environments.</w:t>
      </w:r>
    </w:p>
    <w:p w14:paraId="058B83B8"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For organizations interested in building long-term capacity, a Train-the-Trainer (TTT) model is also available and strongly recommended. In this model, agencies identify several staff members who will participate in additional preparation to become future facilitators of the training within their organization. HKNC works with these individuals to develop facilitator guides and discussion materials so the agency can continue offering the training internally using HKNC resources and curriculum.</w:t>
      </w:r>
    </w:p>
    <w:p w14:paraId="5448D00E"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This approach allows organizations to strengthen internal expertise, expand training opportunities for staff, and sustain professional development over time.</w:t>
      </w:r>
    </w:p>
    <w:p w14:paraId="08629B5B" w14:textId="77777777" w:rsidR="0018373C" w:rsidRPr="0018373C" w:rsidRDefault="0018373C" w:rsidP="0018373C">
      <w:pPr>
        <w:pStyle w:val="NormalWeb"/>
        <w:spacing w:before="120" w:beforeAutospacing="0" w:after="120" w:afterAutospacing="0"/>
        <w:rPr>
          <w:rFonts w:ascii="Arial" w:hAnsi="Arial" w:cs="Arial"/>
          <w:sz w:val="28"/>
          <w:szCs w:val="28"/>
        </w:rPr>
      </w:pPr>
      <w:r w:rsidRPr="0018373C">
        <w:rPr>
          <w:rFonts w:ascii="Arial" w:hAnsi="Arial" w:cs="Arial"/>
          <w:sz w:val="28"/>
          <w:szCs w:val="28"/>
        </w:rPr>
        <w:t>The following menu of courses and training topics can be adapted to meet the needs of different audiences, including vocational rehabilitation counselors, educators, direct support professionals, residential staff, employment specialists, and other professionals who support DeafBlind individuals.</w:t>
      </w:r>
    </w:p>
    <w:p w14:paraId="4B3BC4C7" w14:textId="77777777" w:rsidR="0018373C" w:rsidRDefault="0018373C" w:rsidP="0018373C">
      <w:pPr>
        <w:pStyle w:val="NormalWeb"/>
        <w:spacing w:before="120" w:beforeAutospacing="0" w:after="120" w:afterAutospacing="0"/>
        <w:rPr>
          <w:rFonts w:ascii="Arial" w:hAnsi="Arial" w:cs="Arial"/>
        </w:rPr>
      </w:pPr>
    </w:p>
    <w:p w14:paraId="3E5097CA" w14:textId="1D717DA7" w:rsidR="0018373C" w:rsidRPr="0018373C" w:rsidRDefault="0018373C" w:rsidP="0018373C">
      <w:pPr>
        <w:pStyle w:val="Heading2"/>
      </w:pPr>
      <w:bookmarkStart w:id="1" w:name="_Menu_of_Courses"/>
      <w:bookmarkEnd w:id="1"/>
      <w:r>
        <w:t>Menu of Courses</w:t>
      </w:r>
    </w:p>
    <w:p w14:paraId="745604F4" w14:textId="77777777" w:rsidR="0018373C" w:rsidRPr="00FC5F92" w:rsidRDefault="0018373C" w:rsidP="0018373C">
      <w:pPr>
        <w:pStyle w:val="Heading3"/>
      </w:pPr>
      <w:bookmarkStart w:id="2" w:name="_General_Courses"/>
      <w:bookmarkEnd w:id="2"/>
      <w:r>
        <w:t>General Courses</w:t>
      </w:r>
    </w:p>
    <w:p w14:paraId="2308EA52" w14:textId="77777777" w:rsidR="0018373C" w:rsidRPr="0064538C" w:rsidRDefault="0018373C" w:rsidP="0018373C">
      <w:pPr>
        <w:pStyle w:val="ListParagraph"/>
        <w:numPr>
          <w:ilvl w:val="0"/>
          <w:numId w:val="1"/>
        </w:numPr>
        <w:spacing w:before="120" w:after="120" w:line="240" w:lineRule="auto"/>
        <w:contextualSpacing w:val="0"/>
        <w:rPr>
          <w:rFonts w:eastAsia="Arial" w:cs="Arial"/>
          <w:color w:val="1D2125"/>
          <w:szCs w:val="28"/>
        </w:rPr>
      </w:pPr>
      <w:r w:rsidRPr="3C69E19B">
        <w:rPr>
          <w:rFonts w:cs="Arial"/>
          <w:b/>
          <w:bCs/>
          <w:szCs w:val="28"/>
        </w:rPr>
        <w:t>Introduction to Etiologies and Visual &amp; Hearing Conditions Commonly Associated with Deafblindness:</w:t>
      </w:r>
      <w:r w:rsidRPr="3C69E19B">
        <w:rPr>
          <w:rFonts w:cs="Arial"/>
          <w:szCs w:val="28"/>
        </w:rPr>
        <w:t xml:space="preserve"> </w:t>
      </w:r>
      <w:r w:rsidRPr="3C69E19B">
        <w:rPr>
          <w:rFonts w:eastAsia="Arial" w:cs="Arial"/>
          <w:color w:val="1D2125"/>
          <w:szCs w:val="28"/>
        </w:rPr>
        <w:t xml:space="preserve">This module provides a functional and practical overview of some of the most common etiologies and visual conditions associated with deafblindness. It is </w:t>
      </w:r>
      <w:r w:rsidRPr="3C69E19B">
        <w:rPr>
          <w:rFonts w:eastAsia="Arial" w:cs="Arial"/>
          <w:color w:val="1D2125"/>
          <w:szCs w:val="28"/>
        </w:rPr>
        <w:lastRenderedPageBreak/>
        <w:t>particularly important to understand that the combination of a vision and hearing loss creates a unique sensory situation that may have critical implications. Knowing what a person is able to see or hear is essential in establishing clear communication, ensuring safe mobility, assessing support needs and setting reasonable goals for employment, living situations, transportation and many other aspects of life.</w:t>
      </w:r>
    </w:p>
    <w:p w14:paraId="28121200" w14:textId="77777777" w:rsidR="0018373C" w:rsidRPr="0064538C" w:rsidRDefault="0018373C" w:rsidP="0018373C">
      <w:pPr>
        <w:pStyle w:val="ListParagraph"/>
        <w:numPr>
          <w:ilvl w:val="0"/>
          <w:numId w:val="1"/>
        </w:numPr>
        <w:spacing w:before="120" w:after="120" w:line="240" w:lineRule="auto"/>
        <w:contextualSpacing w:val="0"/>
        <w:rPr>
          <w:rFonts w:cs="Arial"/>
          <w:szCs w:val="28"/>
        </w:rPr>
      </w:pPr>
      <w:r w:rsidRPr="3C69E19B">
        <w:rPr>
          <w:rFonts w:cs="Arial"/>
          <w:b/>
          <w:bCs/>
          <w:szCs w:val="28"/>
        </w:rPr>
        <w:t xml:space="preserve">Communication Methods and Accommodations: </w:t>
      </w:r>
      <w:r w:rsidRPr="3C69E19B">
        <w:rPr>
          <w:rFonts w:eastAsia="Arial" w:cs="Arial"/>
          <w:color w:val="1D2125"/>
          <w:szCs w:val="28"/>
        </w:rPr>
        <w:t xml:space="preserve">This course provides functional and practical information on how to best communicate with individuals who are DeafBlind. The various communication modalities used by individuals who are DeafBlind are addressed including: sign language, speech, text and alternative methods of communication such as print on palm. The possible </w:t>
      </w:r>
      <w:bookmarkStart w:id="3" w:name="_Int_z3NaKAza"/>
      <w:r w:rsidRPr="3C69E19B">
        <w:rPr>
          <w:rFonts w:eastAsia="Arial" w:cs="Arial"/>
          <w:color w:val="1D2125"/>
          <w:szCs w:val="28"/>
        </w:rPr>
        <w:t>accommodations</w:t>
      </w:r>
      <w:bookmarkEnd w:id="3"/>
      <w:r w:rsidRPr="3C69E19B">
        <w:rPr>
          <w:rFonts w:eastAsia="Arial" w:cs="Arial"/>
          <w:color w:val="1D2125"/>
          <w:szCs w:val="28"/>
        </w:rPr>
        <w:t xml:space="preserve"> and modifications that may be needed for each are listed and described.</w:t>
      </w:r>
    </w:p>
    <w:p w14:paraId="5849450B" w14:textId="77777777" w:rsidR="0018373C" w:rsidRPr="0064538C" w:rsidRDefault="0018373C" w:rsidP="0018373C">
      <w:pPr>
        <w:pStyle w:val="ListParagraph"/>
        <w:numPr>
          <w:ilvl w:val="0"/>
          <w:numId w:val="1"/>
        </w:numPr>
        <w:spacing w:before="120" w:after="120" w:line="240" w:lineRule="auto"/>
        <w:contextualSpacing w:val="0"/>
        <w:rPr>
          <w:rFonts w:cs="Arial"/>
        </w:rPr>
      </w:pPr>
      <w:r w:rsidRPr="3C69E19B">
        <w:rPr>
          <w:rFonts w:cs="Arial"/>
          <w:b/>
          <w:bCs/>
          <w:szCs w:val="28"/>
        </w:rPr>
        <w:t xml:space="preserve">Respectful Interactions and DeafBlind Culture: </w:t>
      </w:r>
      <w:r w:rsidRPr="3C69E19B">
        <w:rPr>
          <w:rFonts w:eastAsia="Arial" w:cs="Arial"/>
          <w:color w:val="1D2125"/>
          <w:szCs w:val="28"/>
        </w:rPr>
        <w:t xml:space="preserve">In this course, participants will gain valuable insight into the experiences of individuals who are DeafBlind. They will be introduced to DeafBlind culture, as well as the subcultures within the community, helping professionals develop a deeper understanding and respect for the diverse perspectives of DeafBlind individuals. The course provides guidance on fostering respectful interactions and ensuring that DeafBlind individuals have access to the resources they need to remain independent and make their own choices. A key goal of this course is to reduce misunderstandings and miscommunication between providers and DeafBlind consumers, leading to more effective and productive working relationships. </w:t>
      </w:r>
    </w:p>
    <w:p w14:paraId="0DEA95EF" w14:textId="77777777" w:rsidR="0018373C" w:rsidRPr="0064538C" w:rsidRDefault="0018373C" w:rsidP="0018373C">
      <w:pPr>
        <w:pStyle w:val="ListParagraph"/>
        <w:numPr>
          <w:ilvl w:val="0"/>
          <w:numId w:val="1"/>
        </w:numPr>
        <w:spacing w:before="120" w:after="120" w:line="240" w:lineRule="auto"/>
        <w:contextualSpacing w:val="0"/>
        <w:rPr>
          <w:rFonts w:eastAsia="Arial" w:cs="Arial"/>
          <w:szCs w:val="28"/>
        </w:rPr>
      </w:pPr>
      <w:r w:rsidRPr="3C69E19B">
        <w:rPr>
          <w:rFonts w:cs="Arial"/>
          <w:b/>
          <w:bCs/>
          <w:szCs w:val="28"/>
        </w:rPr>
        <w:t xml:space="preserve">Human Guide and Orientation: </w:t>
      </w:r>
      <w:r w:rsidRPr="3C69E19B">
        <w:rPr>
          <w:rFonts w:eastAsia="Arial" w:cs="Arial"/>
          <w:color w:val="1D2125"/>
          <w:szCs w:val="28"/>
        </w:rPr>
        <w:t xml:space="preserve">In this module participants will be provided with functional and practical information on how to orient an individual who is DeafBlind to an area or space and how to provide human guide as well as other guiding supports to DeafBlind program participants. Various techniques and strategies will be demonstrated and explored. </w:t>
      </w:r>
    </w:p>
    <w:p w14:paraId="7B86AA9E" w14:textId="77777777" w:rsidR="0018373C" w:rsidRPr="0064538C" w:rsidRDefault="0018373C" w:rsidP="0018373C">
      <w:pPr>
        <w:pStyle w:val="ListParagraph"/>
        <w:numPr>
          <w:ilvl w:val="0"/>
          <w:numId w:val="1"/>
        </w:numPr>
        <w:spacing w:before="120" w:after="120" w:line="240" w:lineRule="auto"/>
        <w:contextualSpacing w:val="0"/>
        <w:rPr>
          <w:rFonts w:cs="Arial"/>
          <w:b/>
          <w:bCs/>
          <w:szCs w:val="28"/>
        </w:rPr>
      </w:pPr>
      <w:r w:rsidRPr="3C69E19B">
        <w:rPr>
          <w:rFonts w:cs="Arial"/>
          <w:b/>
          <w:bCs/>
          <w:szCs w:val="28"/>
        </w:rPr>
        <w:t>Ensuring Access to Visual and Environmental Information:</w:t>
      </w:r>
      <w:r w:rsidRPr="3C69E19B">
        <w:rPr>
          <w:rFonts w:eastAsia="Arial" w:cs="Arial"/>
          <w:b/>
          <w:bCs/>
          <w:szCs w:val="28"/>
        </w:rPr>
        <w:t xml:space="preserve"> </w:t>
      </w:r>
      <w:r w:rsidRPr="3C69E19B">
        <w:rPr>
          <w:rFonts w:eastAsia="Arial" w:cs="Arial"/>
          <w:szCs w:val="28"/>
        </w:rPr>
        <w:t xml:space="preserve">This course explores the critical role that access to visual and environmental information plays in a DeafBlind individual’s understanding of their surroundings, particularly in workplace settings. Participants will learn about a range of methods for providing </w:t>
      </w:r>
      <w:r w:rsidRPr="3C69E19B">
        <w:rPr>
          <w:rFonts w:eastAsia="Arial" w:cs="Arial"/>
          <w:szCs w:val="28"/>
        </w:rPr>
        <w:lastRenderedPageBreak/>
        <w:t xml:space="preserve">this information, from verbal or signed descriptions to tactile mapping, Haptics, and Protactile techniques. Emphasis is placed on tailoring the type, amount, and method of information delivery to </w:t>
      </w:r>
      <w:bookmarkStart w:id="4" w:name="_Int_F9Qaue0H"/>
      <w:r w:rsidRPr="3C69E19B">
        <w:rPr>
          <w:rFonts w:eastAsia="Arial" w:cs="Arial"/>
          <w:szCs w:val="28"/>
        </w:rPr>
        <w:t>each individual’s</w:t>
      </w:r>
      <w:bookmarkEnd w:id="4"/>
      <w:r w:rsidRPr="3C69E19B">
        <w:rPr>
          <w:rFonts w:eastAsia="Arial" w:cs="Arial"/>
          <w:szCs w:val="28"/>
        </w:rPr>
        <w:t xml:space="preserve"> unique preferences and needs.</w:t>
      </w:r>
    </w:p>
    <w:p w14:paraId="784C6376" w14:textId="77777777" w:rsidR="0018373C" w:rsidRPr="00FC5F92" w:rsidRDefault="0018373C" w:rsidP="0018373C">
      <w:pPr>
        <w:pStyle w:val="ListParagraph"/>
        <w:numPr>
          <w:ilvl w:val="0"/>
          <w:numId w:val="1"/>
        </w:numPr>
        <w:spacing w:before="120" w:after="120" w:line="240" w:lineRule="auto"/>
        <w:contextualSpacing w:val="0"/>
        <w:rPr>
          <w:rFonts w:cs="Arial"/>
          <w:b/>
          <w:bCs/>
          <w:szCs w:val="28"/>
        </w:rPr>
      </w:pPr>
      <w:r w:rsidRPr="3C69E19B">
        <w:rPr>
          <w:rFonts w:cs="Arial"/>
          <w:b/>
          <w:bCs/>
          <w:szCs w:val="28"/>
        </w:rPr>
        <w:t xml:space="preserve">HKNC Services: </w:t>
      </w:r>
      <w:r w:rsidRPr="3C69E19B">
        <w:rPr>
          <w:rFonts w:eastAsia="Arial" w:cs="Arial"/>
          <w:szCs w:val="28"/>
        </w:rPr>
        <w:t>This module provides an overview of the comprehensive services offered by the Helen Keller National Center (HKNC) for individuals who are DeafBlind. Participants will learn about HKNC’s national network, including the residential training center in Long Island, NY, and our field services across the country, that delivers support to DeafBlind individuals as well as the professionals and family members who support them. The module highlights specialized programs such as professional training, youth summer programs, services for older adults, and initiatives for individuals with complex support needs. By the end, you’ll have a clear understanding of HKNC’s structure, offerings, and how we can support you or those you serve.</w:t>
      </w:r>
    </w:p>
    <w:p w14:paraId="25908DA5" w14:textId="5D87EDF6" w:rsidR="0018373C" w:rsidRDefault="0018373C" w:rsidP="0018373C">
      <w:pPr>
        <w:pStyle w:val="ListParagraph"/>
        <w:numPr>
          <w:ilvl w:val="0"/>
          <w:numId w:val="1"/>
        </w:numPr>
        <w:spacing w:before="120" w:after="120" w:line="240" w:lineRule="auto"/>
        <w:contextualSpacing w:val="0"/>
        <w:rPr>
          <w:rFonts w:ascii="Arial Nova" w:eastAsia="Arial Nova" w:hAnsi="Arial Nova" w:cs="Arial Nova"/>
          <w:color w:val="000000" w:themeColor="text1"/>
        </w:rPr>
      </w:pPr>
      <w:r w:rsidRPr="005C426C">
        <w:rPr>
          <w:rFonts w:cs="Arial"/>
          <w:b/>
          <w:bCs/>
          <w:szCs w:val="28"/>
        </w:rPr>
        <w:t>Understanding and Supporting the Unique Emotional Resilience and Identify Formation of DeafBlind Consumers</w:t>
      </w:r>
      <w:r w:rsidRPr="734EB10E">
        <w:rPr>
          <w:rFonts w:cs="Arial"/>
          <w:b/>
          <w:bCs/>
          <w:i/>
          <w:iCs/>
          <w:szCs w:val="28"/>
        </w:rPr>
        <w:t xml:space="preserve"> </w:t>
      </w:r>
      <w:r w:rsidRPr="734EB10E">
        <w:rPr>
          <w:rFonts w:ascii="Arial Nova" w:eastAsia="Arial Nova" w:hAnsi="Arial Nova" w:cs="Arial Nova"/>
          <w:color w:val="000000" w:themeColor="text1"/>
          <w:szCs w:val="28"/>
        </w:rPr>
        <w:t>This module equips Vocational Rehabilitation counselors and related professionals with the tools and insights needed to support DeafBlind individuals in navigating the emotional and psychological aspects of dual sensory loss. Participants will explore the impact of grief, identity development, and communication access on employment readiness. Through powerful video contributions from DeafBlind individuals, this course brings lived experiences to the forefront - highlighting challenges, resilience, and strategies for success. Topics include the effects of progressive and sudden sensory loss, unprocessed grief, the role of identity in self-advocacy, and the importance of trauma-informed, person-centered support. Participants will walk away with a deeper understanding of how to meet individuals where they are, build supportive vocational plans, and connect consumers to appropriate mental health and peer support.</w:t>
      </w:r>
    </w:p>
    <w:p w14:paraId="3596BC72" w14:textId="77777777" w:rsidR="0018373C" w:rsidRDefault="0018373C" w:rsidP="0018373C">
      <w:pPr>
        <w:pStyle w:val="ListParagraph"/>
        <w:numPr>
          <w:ilvl w:val="0"/>
          <w:numId w:val="1"/>
        </w:numPr>
        <w:spacing w:before="120" w:after="120" w:line="240" w:lineRule="auto"/>
        <w:contextualSpacing w:val="0"/>
        <w:rPr>
          <w:rFonts w:eastAsia="Arial" w:cs="Arial"/>
        </w:rPr>
      </w:pPr>
      <w:r w:rsidRPr="3C69E19B">
        <w:rPr>
          <w:rFonts w:cs="Arial"/>
          <w:b/>
          <w:bCs/>
          <w:szCs w:val="28"/>
        </w:rPr>
        <w:t xml:space="preserve">Adaptive Technology at Home and in the Workplace: </w:t>
      </w:r>
      <w:r w:rsidRPr="3C69E19B">
        <w:rPr>
          <w:rFonts w:eastAsia="Arial" w:cs="Arial"/>
          <w:szCs w:val="28"/>
        </w:rPr>
        <w:t xml:space="preserve">This course introduces participants to the wide range of assistive and adaptive technologies that DeafBlind individuals use to live and work independently. From screen readers, magnification software, and braille displays to smart home systems, FM devices, and mobile apps that convert text, objects, and even images into accessible formats, </w:t>
      </w:r>
      <w:r w:rsidRPr="3C69E19B">
        <w:rPr>
          <w:rFonts w:eastAsia="Arial" w:cs="Arial"/>
          <w:szCs w:val="28"/>
        </w:rPr>
        <w:lastRenderedPageBreak/>
        <w:t>we explore how technology opens up the world for DeafBlind users. Participants will gain insight into how these tools support communication, safety, information access, and independence across home and workplace settings.</w:t>
      </w:r>
    </w:p>
    <w:p w14:paraId="72C84285" w14:textId="77777777" w:rsidR="0018373C" w:rsidRDefault="0018373C" w:rsidP="0018373C">
      <w:pPr>
        <w:pStyle w:val="ListParagraph"/>
        <w:numPr>
          <w:ilvl w:val="0"/>
          <w:numId w:val="1"/>
        </w:numPr>
        <w:spacing w:before="120" w:after="120" w:line="240" w:lineRule="auto"/>
        <w:contextualSpacing w:val="0"/>
        <w:rPr>
          <w:rFonts w:cs="Arial"/>
        </w:rPr>
      </w:pPr>
      <w:r w:rsidRPr="3C69E19B">
        <w:rPr>
          <w:rFonts w:cs="Arial"/>
          <w:b/>
          <w:bCs/>
          <w:szCs w:val="28"/>
        </w:rPr>
        <w:t>Work Readiness:</w:t>
      </w:r>
      <w:r w:rsidRPr="3C69E19B">
        <w:rPr>
          <w:rFonts w:eastAsia="Arial" w:cs="Arial"/>
          <w:szCs w:val="28"/>
        </w:rPr>
        <w:t xml:space="preserve"> This course explores the unique considerations VR counselors and employment specialists must keep in mind when preparing DeafBlind individuals for the workforce. By addressing gaps caused by limited access to incidental learning and providing practical strategies for communication, self-advocacy, and environmental access, participants will gain tools to support successful, individualized work readiness planning.</w:t>
      </w:r>
    </w:p>
    <w:p w14:paraId="07ACD1BF" w14:textId="77777777" w:rsidR="0018373C" w:rsidRDefault="0018373C" w:rsidP="0018373C">
      <w:pPr>
        <w:spacing w:before="120" w:after="120"/>
        <w:rPr>
          <w:rFonts w:cs="Arial"/>
          <w:szCs w:val="28"/>
        </w:rPr>
      </w:pPr>
    </w:p>
    <w:p w14:paraId="0BF72F62" w14:textId="77777777" w:rsidR="0018373C" w:rsidRDefault="0018373C" w:rsidP="0018373C">
      <w:pPr>
        <w:pStyle w:val="Heading3"/>
      </w:pPr>
      <w:bookmarkStart w:id="5" w:name="_Complex_Support_Needs"/>
      <w:bookmarkEnd w:id="5"/>
      <w:r>
        <w:t>Complex Support Needs Courses</w:t>
      </w:r>
    </w:p>
    <w:p w14:paraId="24E16F69" w14:textId="77777777" w:rsidR="0018373C" w:rsidRDefault="0018373C" w:rsidP="0018373C">
      <w:pPr>
        <w:spacing w:before="120" w:after="120"/>
        <w:rPr>
          <w:rFonts w:cs="Arial"/>
          <w:szCs w:val="28"/>
        </w:rPr>
      </w:pPr>
      <w:r>
        <w:rPr>
          <w:rFonts w:cs="Arial"/>
          <w:szCs w:val="28"/>
        </w:rPr>
        <w:t xml:space="preserve">These courses were developed to support providers working directly with DeafBlind individuals with additional intellectual, linguistics disorders and complex support needs. </w:t>
      </w:r>
    </w:p>
    <w:p w14:paraId="777BDA72" w14:textId="77777777" w:rsidR="0018373C" w:rsidRPr="00A54324" w:rsidRDefault="0018373C" w:rsidP="0018373C">
      <w:pPr>
        <w:pStyle w:val="ListParagraph"/>
        <w:numPr>
          <w:ilvl w:val="0"/>
          <w:numId w:val="2"/>
        </w:numPr>
        <w:spacing w:before="120" w:after="120" w:line="240" w:lineRule="auto"/>
        <w:contextualSpacing w:val="0"/>
        <w:rPr>
          <w:rFonts w:cs="Arial"/>
          <w:b/>
          <w:bCs/>
          <w:szCs w:val="28"/>
        </w:rPr>
      </w:pPr>
      <w:r w:rsidRPr="00A54324">
        <w:rPr>
          <w:rFonts w:cs="Arial"/>
          <w:b/>
          <w:bCs/>
          <w:szCs w:val="28"/>
        </w:rPr>
        <w:t xml:space="preserve">Getting to Know the Individual: </w:t>
      </w:r>
      <w:r w:rsidRPr="00A54324">
        <w:rPr>
          <w:rFonts w:cs="Arial"/>
        </w:rPr>
        <w:t xml:space="preserve">This session focuses on the intentional process of building strong, respectful relationships with individuals who are DeafBlind and have additional complex needs. Participants will learn practical strategies for observing, listening, and connecting in ways that honor each person’s unique abilities, preferences, and communication styles. Through completing an </w:t>
      </w:r>
      <w:r w:rsidRPr="005C426C">
        <w:rPr>
          <w:rStyle w:val="Strong"/>
          <w:rFonts w:cs="Arial"/>
          <w:b w:val="0"/>
          <w:bCs w:val="0"/>
        </w:rPr>
        <w:t>Individual Profile</w:t>
      </w:r>
      <w:r w:rsidRPr="00A54324">
        <w:rPr>
          <w:rFonts w:cs="Arial"/>
        </w:rPr>
        <w:t>, teams will gain a deeper understanding of the person they support</w:t>
      </w:r>
      <w:r>
        <w:rPr>
          <w:rFonts w:cs="Arial"/>
        </w:rPr>
        <w:t xml:space="preserve">, </w:t>
      </w:r>
      <w:r w:rsidRPr="00A54324">
        <w:rPr>
          <w:rFonts w:cs="Arial"/>
        </w:rPr>
        <w:t>laying the groundwork for meaningful, person-centered relationships and effective collaboration.</w:t>
      </w:r>
    </w:p>
    <w:p w14:paraId="6578364E" w14:textId="77777777" w:rsidR="0018373C" w:rsidRPr="00A54324" w:rsidRDefault="0018373C" w:rsidP="0018373C">
      <w:pPr>
        <w:pStyle w:val="ListParagraph"/>
        <w:numPr>
          <w:ilvl w:val="0"/>
          <w:numId w:val="2"/>
        </w:numPr>
        <w:spacing w:before="120" w:after="120" w:line="240" w:lineRule="auto"/>
        <w:contextualSpacing w:val="0"/>
        <w:rPr>
          <w:rFonts w:cs="Arial"/>
          <w:b/>
          <w:bCs/>
          <w:szCs w:val="28"/>
        </w:rPr>
      </w:pPr>
      <w:r>
        <w:rPr>
          <w:rFonts w:cs="Arial"/>
          <w:b/>
          <w:bCs/>
          <w:szCs w:val="28"/>
        </w:rPr>
        <w:t xml:space="preserve">Discovering the Impact of Combined Vision and Hearing Loss: </w:t>
      </w:r>
      <w:r w:rsidRPr="00A54324">
        <w:rPr>
          <w:rFonts w:cs="Arial"/>
        </w:rPr>
        <w:t>This course explores how combined hearing and vision loss uniquely affects how individuals who are DeafBlind experience, understand, and interact with the world around them. Participants will gain insight into the diversity of deafblindness, the barriers caused by limited access to incidental learning, and the importance of intentional, accessible teaching strategies. Through real-life examples and stories, the session highlights the critical role of support providers in building trust, fostering communication, and creating environments that promote safety, independence, and meaningful engagement for individuals with complex support needs.</w:t>
      </w:r>
    </w:p>
    <w:p w14:paraId="4FC847F2" w14:textId="77777777" w:rsidR="0018373C" w:rsidRPr="00A54324" w:rsidRDefault="0018373C" w:rsidP="0018373C">
      <w:pPr>
        <w:pStyle w:val="ListParagraph"/>
        <w:numPr>
          <w:ilvl w:val="0"/>
          <w:numId w:val="2"/>
        </w:numPr>
        <w:spacing w:before="120" w:after="120" w:line="240" w:lineRule="auto"/>
        <w:contextualSpacing w:val="0"/>
        <w:rPr>
          <w:rFonts w:cs="Arial"/>
          <w:b/>
          <w:bCs/>
          <w:szCs w:val="28"/>
        </w:rPr>
      </w:pPr>
      <w:r>
        <w:rPr>
          <w:rFonts w:cs="Arial"/>
          <w:b/>
          <w:bCs/>
          <w:szCs w:val="28"/>
        </w:rPr>
        <w:lastRenderedPageBreak/>
        <w:t xml:space="preserve">Understanding the Causes and Implications of Deafblindness: </w:t>
      </w:r>
      <w:r w:rsidRPr="00A54324">
        <w:rPr>
          <w:rFonts w:cs="Arial"/>
        </w:rPr>
        <w:t xml:space="preserve">This course explains </w:t>
      </w:r>
      <w:r w:rsidRPr="005C426C">
        <w:rPr>
          <w:rStyle w:val="Strong"/>
          <w:rFonts w:cs="Arial"/>
          <w:b w:val="0"/>
          <w:bCs w:val="0"/>
        </w:rPr>
        <w:t>etiology</w:t>
      </w:r>
      <w:r w:rsidRPr="005C426C">
        <w:rPr>
          <w:rFonts w:cs="Arial"/>
          <w:b/>
          <w:bCs/>
        </w:rPr>
        <w:t xml:space="preserve"> </w:t>
      </w:r>
      <w:r>
        <w:rPr>
          <w:rFonts w:cs="Arial"/>
        </w:rPr>
        <w:t>(</w:t>
      </w:r>
      <w:r w:rsidRPr="00A54324">
        <w:rPr>
          <w:rFonts w:cs="Arial"/>
        </w:rPr>
        <w:t>the causes of combined vision and hearing loss</w:t>
      </w:r>
      <w:r>
        <w:rPr>
          <w:rFonts w:cs="Arial"/>
        </w:rPr>
        <w:t xml:space="preserve">) </w:t>
      </w:r>
      <w:r w:rsidRPr="00A54324">
        <w:rPr>
          <w:rFonts w:cs="Arial"/>
        </w:rPr>
        <w:t xml:space="preserve">and shows how that knowledge translates into </w:t>
      </w:r>
      <w:r w:rsidRPr="005C426C">
        <w:rPr>
          <w:rStyle w:val="Strong"/>
          <w:rFonts w:cs="Arial"/>
          <w:b w:val="0"/>
          <w:bCs w:val="0"/>
        </w:rPr>
        <w:t>practical, person-centered support</w:t>
      </w:r>
      <w:r w:rsidRPr="005C426C">
        <w:rPr>
          <w:rFonts w:cs="Arial"/>
          <w:b/>
          <w:bCs/>
        </w:rPr>
        <w:t>.</w:t>
      </w:r>
      <w:r w:rsidRPr="00A54324">
        <w:rPr>
          <w:rFonts w:cs="Arial"/>
        </w:rPr>
        <w:t xml:space="preserve"> You’ll learn common etiologies and how </w:t>
      </w:r>
      <w:r w:rsidRPr="005C426C">
        <w:rPr>
          <w:rStyle w:val="Strong"/>
          <w:rFonts w:cs="Arial"/>
          <w:b w:val="0"/>
          <w:bCs w:val="0"/>
        </w:rPr>
        <w:t>types of vision loss</w:t>
      </w:r>
      <w:r w:rsidRPr="00A54324">
        <w:rPr>
          <w:rFonts w:cs="Arial"/>
        </w:rPr>
        <w:t xml:space="preserve"> (central, peripheral, mixed, scotomas) and </w:t>
      </w:r>
      <w:r w:rsidRPr="005C426C">
        <w:rPr>
          <w:rStyle w:val="Strong"/>
          <w:rFonts w:cs="Arial"/>
          <w:b w:val="0"/>
          <w:bCs w:val="0"/>
        </w:rPr>
        <w:t>types of hearing loss</w:t>
      </w:r>
      <w:r w:rsidRPr="00A54324">
        <w:rPr>
          <w:rFonts w:cs="Arial"/>
        </w:rPr>
        <w:t xml:space="preserve"> (mild to profound, frequency-specific, asymmetric, fluctuating, progressive) impact daily life, communication, safety, and learning. We also cover </w:t>
      </w:r>
      <w:r w:rsidRPr="005C426C">
        <w:rPr>
          <w:rStyle w:val="Strong"/>
          <w:rFonts w:cs="Arial"/>
          <w:b w:val="0"/>
          <w:bCs w:val="0"/>
        </w:rPr>
        <w:t>age of onset</w:t>
      </w:r>
      <w:r w:rsidRPr="005C426C">
        <w:rPr>
          <w:rFonts w:cs="Arial"/>
          <w:b/>
          <w:bCs/>
        </w:rPr>
        <w:t xml:space="preserve">, </w:t>
      </w:r>
      <w:r w:rsidRPr="005C426C">
        <w:rPr>
          <w:rStyle w:val="Strong"/>
          <w:rFonts w:cs="Arial"/>
          <w:b w:val="0"/>
          <w:bCs w:val="0"/>
        </w:rPr>
        <w:t>progression</w:t>
      </w:r>
      <w:r w:rsidRPr="00A54324">
        <w:rPr>
          <w:rFonts w:cs="Arial"/>
          <w:b/>
          <w:bCs/>
        </w:rPr>
        <w:t xml:space="preserve">, </w:t>
      </w:r>
      <w:r w:rsidRPr="00A54324">
        <w:rPr>
          <w:rFonts w:cs="Arial"/>
        </w:rPr>
        <w:t xml:space="preserve">and </w:t>
      </w:r>
      <w:r w:rsidRPr="005C426C">
        <w:rPr>
          <w:rStyle w:val="Strong"/>
          <w:rFonts w:cs="Arial"/>
          <w:b w:val="0"/>
          <w:bCs w:val="0"/>
        </w:rPr>
        <w:t>associated conditions</w:t>
      </w:r>
      <w:r w:rsidRPr="00A54324">
        <w:rPr>
          <w:rFonts w:cs="Arial"/>
        </w:rPr>
        <w:t xml:space="preserve">, and how these factors guide accommodations, technology choices, and environmental modifications. You won’t need to memorize medical details; </w:t>
      </w:r>
      <w:r w:rsidRPr="005C426C">
        <w:rPr>
          <w:rStyle w:val="Strong"/>
          <w:rFonts w:cs="Arial"/>
          <w:b w:val="0"/>
          <w:bCs w:val="0"/>
        </w:rPr>
        <w:t>quick-reference guides</w:t>
      </w:r>
      <w:r w:rsidRPr="00A54324">
        <w:rPr>
          <w:rFonts w:cs="Arial"/>
        </w:rPr>
        <w:t xml:space="preserve"> and functional strategies help you apply insights to tailor supports that build access, independence, and quality of life.</w:t>
      </w:r>
    </w:p>
    <w:p w14:paraId="517CE12F" w14:textId="77777777" w:rsidR="0018373C" w:rsidRPr="00A54324" w:rsidRDefault="0018373C" w:rsidP="0018373C">
      <w:pPr>
        <w:pStyle w:val="ListParagraph"/>
        <w:numPr>
          <w:ilvl w:val="0"/>
          <w:numId w:val="2"/>
        </w:numPr>
        <w:spacing w:before="120" w:after="120" w:line="240" w:lineRule="auto"/>
        <w:contextualSpacing w:val="0"/>
        <w:rPr>
          <w:rFonts w:cs="Arial"/>
          <w:b/>
          <w:bCs/>
          <w:szCs w:val="28"/>
        </w:rPr>
      </w:pPr>
      <w:r>
        <w:rPr>
          <w:rFonts w:cs="Arial"/>
          <w:b/>
          <w:bCs/>
          <w:szCs w:val="28"/>
        </w:rPr>
        <w:t xml:space="preserve">Communication Beyond Words: </w:t>
      </w:r>
      <w:r w:rsidRPr="00A54324">
        <w:rPr>
          <w:rFonts w:cs="Arial"/>
        </w:rPr>
        <w:t>This course equips direct providers to recognize, validate, and expand all forms of communication used by DeafBlind individuals with complex support needs, from gestures, vocalizations, touch cues, and object/picture symbols to visual, tracking, and tactile sign language. You’ll learn how to identify a person’s current expressive and receptive methods, implement the right accommodations (environmental, visual, auditory, and tech supports), and use practical templates and tip sheets to build choice-making, meaningful interactions, and shared decision-making. The goal: break down communication barriers with patience, consistency, and belief so individuals are truly heard and included in everyday life.</w:t>
      </w:r>
    </w:p>
    <w:p w14:paraId="3ED7B2D9" w14:textId="69AD1192" w:rsidR="0018373C" w:rsidRPr="00A54324" w:rsidRDefault="0018373C" w:rsidP="0018373C">
      <w:pPr>
        <w:pStyle w:val="NormalWeb"/>
        <w:numPr>
          <w:ilvl w:val="0"/>
          <w:numId w:val="2"/>
        </w:numPr>
        <w:spacing w:before="120" w:beforeAutospacing="0" w:after="120" w:afterAutospacing="0"/>
        <w:rPr>
          <w:rFonts w:ascii="Arial" w:hAnsi="Arial" w:cs="Arial"/>
        </w:rPr>
      </w:pPr>
      <w:r>
        <w:rPr>
          <w:rFonts w:ascii="Arial" w:hAnsi="Arial" w:cs="Arial"/>
          <w:b/>
          <w:bCs/>
          <w:sz w:val="28"/>
          <w:szCs w:val="28"/>
        </w:rPr>
        <w:t xml:space="preserve">Building Trusting Relationships: </w:t>
      </w:r>
      <w:r w:rsidRPr="005C426C">
        <w:rPr>
          <w:rFonts w:ascii="Arial" w:hAnsi="Arial" w:cs="Arial"/>
          <w:sz w:val="28"/>
          <w:szCs w:val="28"/>
        </w:rPr>
        <w:t xml:space="preserve">This course gives direct support providers practical, everyday strategies to build trust with DeafBlind individuals through respectful and inclusive interactions. Participants will learn how to </w:t>
      </w:r>
      <w:r w:rsidRPr="005C426C">
        <w:rPr>
          <w:rStyle w:val="Strong"/>
          <w:rFonts w:ascii="Arial" w:eastAsiaTheme="majorEastAsia" w:hAnsi="Arial" w:cs="Arial"/>
          <w:b w:val="0"/>
          <w:bCs w:val="0"/>
          <w:sz w:val="28"/>
          <w:szCs w:val="28"/>
        </w:rPr>
        <w:t>approach and identify</w:t>
      </w:r>
      <w:r w:rsidRPr="005C426C">
        <w:rPr>
          <w:rFonts w:ascii="Arial" w:hAnsi="Arial" w:cs="Arial"/>
          <w:sz w:val="28"/>
          <w:szCs w:val="28"/>
        </w:rPr>
        <w:t xml:space="preserve"> oneself consistently, </w:t>
      </w:r>
      <w:r w:rsidRPr="005C426C">
        <w:rPr>
          <w:rStyle w:val="Strong"/>
          <w:rFonts w:ascii="Arial" w:eastAsiaTheme="majorEastAsia" w:hAnsi="Arial" w:cs="Arial"/>
          <w:b w:val="0"/>
          <w:bCs w:val="0"/>
          <w:sz w:val="28"/>
          <w:szCs w:val="28"/>
        </w:rPr>
        <w:t>do with</w:t>
      </w:r>
      <w:r w:rsidR="005C426C">
        <w:rPr>
          <w:rStyle w:val="Strong"/>
          <w:rFonts w:ascii="Arial" w:eastAsiaTheme="majorEastAsia" w:hAnsi="Arial" w:cs="Arial"/>
          <w:b w:val="0"/>
          <w:bCs w:val="0"/>
          <w:sz w:val="28"/>
          <w:szCs w:val="28"/>
        </w:rPr>
        <w:t xml:space="preserve">, </w:t>
      </w:r>
      <w:r w:rsidRPr="005C426C">
        <w:rPr>
          <w:rStyle w:val="Strong"/>
          <w:rFonts w:ascii="Arial" w:eastAsiaTheme="majorEastAsia" w:hAnsi="Arial" w:cs="Arial"/>
          <w:b w:val="0"/>
          <w:bCs w:val="0"/>
          <w:sz w:val="28"/>
          <w:szCs w:val="28"/>
        </w:rPr>
        <w:t>not for</w:t>
      </w:r>
      <w:r w:rsidRPr="005C426C">
        <w:rPr>
          <w:rFonts w:ascii="Arial" w:hAnsi="Arial" w:cs="Arial"/>
          <w:sz w:val="28"/>
          <w:szCs w:val="28"/>
        </w:rPr>
        <w:t xml:space="preserve"> using hand-under-hand techniques, and use </w:t>
      </w:r>
      <w:r w:rsidRPr="005C426C">
        <w:rPr>
          <w:rStyle w:val="Strong"/>
          <w:rFonts w:ascii="Arial" w:eastAsiaTheme="majorEastAsia" w:hAnsi="Arial" w:cs="Arial"/>
          <w:b w:val="0"/>
          <w:bCs w:val="0"/>
          <w:sz w:val="28"/>
          <w:szCs w:val="28"/>
        </w:rPr>
        <w:t>affirmation and responsive touch</w:t>
      </w:r>
      <w:r w:rsidRPr="005C426C">
        <w:rPr>
          <w:rFonts w:ascii="Arial" w:hAnsi="Arial" w:cs="Arial"/>
          <w:sz w:val="28"/>
          <w:szCs w:val="28"/>
        </w:rPr>
        <w:t xml:space="preserve"> to validate communication and emotion. We’ll highlight the core ingredients of trust such as </w:t>
      </w:r>
      <w:r w:rsidRPr="005C426C">
        <w:rPr>
          <w:rStyle w:val="Strong"/>
          <w:rFonts w:ascii="Arial" w:eastAsiaTheme="majorEastAsia" w:hAnsi="Arial" w:cs="Arial"/>
          <w:b w:val="0"/>
          <w:bCs w:val="0"/>
          <w:sz w:val="28"/>
          <w:szCs w:val="28"/>
        </w:rPr>
        <w:t>inclusion, predictability, and access to information</w:t>
      </w:r>
      <w:r w:rsidRPr="005C426C">
        <w:rPr>
          <w:rFonts w:ascii="Arial" w:hAnsi="Arial" w:cs="Arial"/>
          <w:sz w:val="28"/>
          <w:szCs w:val="28"/>
        </w:rPr>
        <w:t xml:space="preserve"> and show how small, intentional actions create emotional safety, shared control, and meaningful connection in residential and community settings.</w:t>
      </w:r>
    </w:p>
    <w:p w14:paraId="73F50273" w14:textId="77777777" w:rsidR="0018373C" w:rsidRPr="00A54324" w:rsidRDefault="0018373C" w:rsidP="0018373C">
      <w:pPr>
        <w:spacing w:before="120" w:after="120"/>
        <w:ind w:left="360"/>
        <w:rPr>
          <w:rFonts w:cs="Arial"/>
          <w:b/>
          <w:bCs/>
          <w:szCs w:val="28"/>
        </w:rPr>
      </w:pPr>
    </w:p>
    <w:p w14:paraId="28CE52CA" w14:textId="77777777" w:rsidR="00350E78" w:rsidRDefault="00350E78"/>
    <w:sectPr w:rsidR="00350E78" w:rsidSect="0018373C">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D08"/>
    <w:multiLevelType w:val="hybridMultilevel"/>
    <w:tmpl w:val="A0B4B4A2"/>
    <w:lvl w:ilvl="0" w:tplc="28220906">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91FCF"/>
    <w:multiLevelType w:val="hybridMultilevel"/>
    <w:tmpl w:val="4DA06164"/>
    <w:lvl w:ilvl="0" w:tplc="FC001B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C7C4D"/>
    <w:multiLevelType w:val="hybridMultilevel"/>
    <w:tmpl w:val="AC40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94277">
    <w:abstractNumId w:val="1"/>
  </w:num>
  <w:num w:numId="2" w16cid:durableId="5333878">
    <w:abstractNumId w:val="2"/>
  </w:num>
  <w:num w:numId="3" w16cid:durableId="170914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3C"/>
    <w:rsid w:val="00027022"/>
    <w:rsid w:val="00057E1D"/>
    <w:rsid w:val="0013674C"/>
    <w:rsid w:val="0018373C"/>
    <w:rsid w:val="00184761"/>
    <w:rsid w:val="00261B8D"/>
    <w:rsid w:val="002F4DBF"/>
    <w:rsid w:val="00350E78"/>
    <w:rsid w:val="0036451B"/>
    <w:rsid w:val="00391845"/>
    <w:rsid w:val="003C4B52"/>
    <w:rsid w:val="003F5A36"/>
    <w:rsid w:val="004651F2"/>
    <w:rsid w:val="0053470D"/>
    <w:rsid w:val="005C426C"/>
    <w:rsid w:val="00633347"/>
    <w:rsid w:val="00690BA0"/>
    <w:rsid w:val="006C4FB5"/>
    <w:rsid w:val="007F12D9"/>
    <w:rsid w:val="008C19AF"/>
    <w:rsid w:val="009507E6"/>
    <w:rsid w:val="00987FEE"/>
    <w:rsid w:val="009E4A59"/>
    <w:rsid w:val="009E556A"/>
    <w:rsid w:val="00A43F45"/>
    <w:rsid w:val="00AA2A8A"/>
    <w:rsid w:val="00AD055D"/>
    <w:rsid w:val="00B02CB6"/>
    <w:rsid w:val="00B47250"/>
    <w:rsid w:val="00B6658E"/>
    <w:rsid w:val="00B831E4"/>
    <w:rsid w:val="00C1054D"/>
    <w:rsid w:val="00CC2A44"/>
    <w:rsid w:val="00CC5BA6"/>
    <w:rsid w:val="00CC5DAF"/>
    <w:rsid w:val="00D06EC9"/>
    <w:rsid w:val="00D37997"/>
    <w:rsid w:val="00D8090C"/>
    <w:rsid w:val="00DE7826"/>
    <w:rsid w:val="00E753DA"/>
    <w:rsid w:val="00EB5994"/>
    <w:rsid w:val="00F41F23"/>
    <w:rsid w:val="00F66FF7"/>
    <w:rsid w:val="00F83267"/>
    <w:rsid w:val="00F92588"/>
    <w:rsid w:val="00FA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A9FE"/>
  <w15:chartTrackingRefBased/>
  <w15:docId w15:val="{16FA2C85-5ED3-EE4E-8D01-A9D6C19D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36"/>
    <w:pPr>
      <w:spacing w:after="200" w:line="276" w:lineRule="auto"/>
    </w:pPr>
    <w:rPr>
      <w:rFonts w:ascii="Arial" w:eastAsiaTheme="minorEastAsia" w:hAnsi="Arial"/>
      <w:kern w:val="0"/>
      <w:sz w:val="28"/>
      <w:szCs w:val="22"/>
      <w14:ligatures w14:val="none"/>
    </w:rPr>
  </w:style>
  <w:style w:type="paragraph" w:styleId="Heading1">
    <w:name w:val="heading 1"/>
    <w:basedOn w:val="Normal"/>
    <w:next w:val="Normal"/>
    <w:link w:val="Heading1Char"/>
    <w:uiPriority w:val="9"/>
    <w:qFormat/>
    <w:rsid w:val="00391845"/>
    <w:pPr>
      <w:keepNext/>
      <w:keepLines/>
      <w:spacing w:before="360" w:after="80" w:line="279" w:lineRule="auto"/>
      <w:jc w:val="center"/>
      <w:outlineLvl w:val="0"/>
    </w:pPr>
    <w:rPr>
      <w:rFonts w:eastAsiaTheme="majorEastAsia" w:cstheme="majorBidi"/>
      <w:b/>
      <w:color w:val="002060"/>
      <w:kern w:val="2"/>
      <w:sz w:val="40"/>
      <w:szCs w:val="40"/>
      <w14:ligatures w14:val="standardContextual"/>
    </w:rPr>
  </w:style>
  <w:style w:type="paragraph" w:styleId="Heading2">
    <w:name w:val="heading 2"/>
    <w:basedOn w:val="Normal"/>
    <w:next w:val="Normal"/>
    <w:link w:val="Heading2Char"/>
    <w:uiPriority w:val="9"/>
    <w:unhideWhenUsed/>
    <w:qFormat/>
    <w:rsid w:val="003F5A36"/>
    <w:pPr>
      <w:keepNext/>
      <w:keepLines/>
      <w:spacing w:before="160" w:after="80" w:line="279" w:lineRule="auto"/>
      <w:outlineLvl w:val="1"/>
    </w:pPr>
    <w:rPr>
      <w:rFonts w:eastAsiaTheme="majorEastAsia" w:cstheme="majorBidi"/>
      <w:b/>
      <w:color w:val="610000"/>
      <w:kern w:val="2"/>
      <w:sz w:val="32"/>
      <w:szCs w:val="32"/>
      <w14:ligatures w14:val="standardContextual"/>
    </w:rPr>
  </w:style>
  <w:style w:type="paragraph" w:styleId="Heading3">
    <w:name w:val="heading 3"/>
    <w:basedOn w:val="Normal"/>
    <w:next w:val="Normal"/>
    <w:link w:val="Heading3Char"/>
    <w:uiPriority w:val="9"/>
    <w:unhideWhenUsed/>
    <w:qFormat/>
    <w:rsid w:val="007F12D9"/>
    <w:pPr>
      <w:keepNext/>
      <w:keepLines/>
      <w:spacing w:before="160" w:after="80" w:line="278" w:lineRule="auto"/>
      <w:outlineLvl w:val="2"/>
    </w:pPr>
    <w:rPr>
      <w:rFonts w:eastAsiaTheme="majorEastAsia" w:cstheme="majorBidi"/>
      <w:b/>
      <w:color w:val="153D63" w:themeColor="text2" w:themeTint="E6"/>
      <w:kern w:val="2"/>
      <w:szCs w:val="28"/>
      <w14:ligatures w14:val="standardContextual"/>
    </w:rPr>
  </w:style>
  <w:style w:type="paragraph" w:styleId="Heading4">
    <w:name w:val="heading 4"/>
    <w:basedOn w:val="Normal"/>
    <w:next w:val="Normal"/>
    <w:link w:val="Heading4Char"/>
    <w:uiPriority w:val="9"/>
    <w:unhideWhenUsed/>
    <w:qFormat/>
    <w:rsid w:val="00DE7826"/>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83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37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37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37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37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45"/>
    <w:rPr>
      <w:rFonts w:ascii="Arial" w:eastAsiaTheme="majorEastAsia" w:hAnsi="Arial" w:cstheme="majorBidi"/>
      <w:b/>
      <w:color w:val="002060"/>
      <w:sz w:val="40"/>
      <w:szCs w:val="40"/>
    </w:rPr>
  </w:style>
  <w:style w:type="character" w:customStyle="1" w:styleId="Heading2Char">
    <w:name w:val="Heading 2 Char"/>
    <w:basedOn w:val="DefaultParagraphFont"/>
    <w:link w:val="Heading2"/>
    <w:uiPriority w:val="9"/>
    <w:rsid w:val="003F5A36"/>
    <w:rPr>
      <w:rFonts w:ascii="Arial" w:eastAsiaTheme="majorEastAsia" w:hAnsi="Arial" w:cstheme="majorBidi"/>
      <w:b/>
      <w:color w:val="610000"/>
      <w:sz w:val="32"/>
      <w:szCs w:val="32"/>
    </w:rPr>
  </w:style>
  <w:style w:type="character" w:customStyle="1" w:styleId="Heading3Char">
    <w:name w:val="Heading 3 Char"/>
    <w:basedOn w:val="DefaultParagraphFont"/>
    <w:link w:val="Heading3"/>
    <w:uiPriority w:val="9"/>
    <w:rsid w:val="007F12D9"/>
    <w:rPr>
      <w:rFonts w:ascii="Arial" w:eastAsiaTheme="majorEastAsia" w:hAnsi="Arial" w:cstheme="majorBidi"/>
      <w:b/>
      <w:color w:val="153D63" w:themeColor="text2" w:themeTint="E6"/>
      <w:sz w:val="28"/>
      <w:szCs w:val="28"/>
    </w:rPr>
  </w:style>
  <w:style w:type="character" w:customStyle="1" w:styleId="Heading4Char">
    <w:name w:val="Heading 4 Char"/>
    <w:basedOn w:val="DefaultParagraphFont"/>
    <w:link w:val="Heading4"/>
    <w:uiPriority w:val="9"/>
    <w:rsid w:val="00DE7826"/>
    <w:rPr>
      <w:rFonts w:ascii="Arial" w:eastAsiaTheme="majorEastAsia" w:hAnsi="Arial" w:cstheme="majorBidi"/>
      <w:b/>
      <w:iCs/>
      <w:color w:val="000000" w:themeColor="text1"/>
      <w:kern w:val="0"/>
      <w:sz w:val="28"/>
      <w:szCs w:val="22"/>
      <w14:ligatures w14:val="none"/>
    </w:rPr>
  </w:style>
  <w:style w:type="character" w:customStyle="1" w:styleId="Heading5Char">
    <w:name w:val="Heading 5 Char"/>
    <w:basedOn w:val="DefaultParagraphFont"/>
    <w:link w:val="Heading5"/>
    <w:uiPriority w:val="9"/>
    <w:semiHidden/>
    <w:rsid w:val="0018373C"/>
    <w:rPr>
      <w:rFonts w:eastAsiaTheme="majorEastAsia" w:cstheme="majorBidi"/>
      <w:color w:val="0F4761" w:themeColor="accent1" w:themeShade="BF"/>
      <w:kern w:val="0"/>
      <w:sz w:val="28"/>
      <w:szCs w:val="22"/>
      <w14:ligatures w14:val="none"/>
    </w:rPr>
  </w:style>
  <w:style w:type="character" w:customStyle="1" w:styleId="Heading6Char">
    <w:name w:val="Heading 6 Char"/>
    <w:basedOn w:val="DefaultParagraphFont"/>
    <w:link w:val="Heading6"/>
    <w:uiPriority w:val="9"/>
    <w:semiHidden/>
    <w:rsid w:val="0018373C"/>
    <w:rPr>
      <w:rFonts w:eastAsiaTheme="majorEastAsia" w:cstheme="majorBidi"/>
      <w:i/>
      <w:iCs/>
      <w:color w:val="595959" w:themeColor="text1" w:themeTint="A6"/>
      <w:kern w:val="0"/>
      <w:sz w:val="28"/>
      <w:szCs w:val="22"/>
      <w14:ligatures w14:val="none"/>
    </w:rPr>
  </w:style>
  <w:style w:type="character" w:customStyle="1" w:styleId="Heading7Char">
    <w:name w:val="Heading 7 Char"/>
    <w:basedOn w:val="DefaultParagraphFont"/>
    <w:link w:val="Heading7"/>
    <w:uiPriority w:val="9"/>
    <w:semiHidden/>
    <w:rsid w:val="0018373C"/>
    <w:rPr>
      <w:rFonts w:eastAsiaTheme="majorEastAsia"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18373C"/>
    <w:rPr>
      <w:rFonts w:eastAsiaTheme="majorEastAsia"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18373C"/>
    <w:rPr>
      <w:rFonts w:eastAsiaTheme="majorEastAsia" w:cstheme="majorBidi"/>
      <w:color w:val="272727" w:themeColor="text1" w:themeTint="D8"/>
      <w:kern w:val="0"/>
      <w:sz w:val="28"/>
      <w:szCs w:val="22"/>
      <w14:ligatures w14:val="none"/>
    </w:rPr>
  </w:style>
  <w:style w:type="paragraph" w:styleId="Title">
    <w:name w:val="Title"/>
    <w:basedOn w:val="Normal"/>
    <w:next w:val="Normal"/>
    <w:link w:val="TitleChar"/>
    <w:uiPriority w:val="10"/>
    <w:qFormat/>
    <w:rsid w:val="00183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73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8373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8373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83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373C"/>
    <w:rPr>
      <w:rFonts w:ascii="Arial" w:eastAsiaTheme="minorEastAsia" w:hAnsi="Arial"/>
      <w:i/>
      <w:iCs/>
      <w:color w:val="404040" w:themeColor="text1" w:themeTint="BF"/>
      <w:kern w:val="0"/>
      <w:sz w:val="28"/>
      <w:szCs w:val="22"/>
      <w14:ligatures w14:val="none"/>
    </w:rPr>
  </w:style>
  <w:style w:type="paragraph" w:styleId="ListParagraph">
    <w:name w:val="List Paragraph"/>
    <w:basedOn w:val="Normal"/>
    <w:uiPriority w:val="34"/>
    <w:qFormat/>
    <w:rsid w:val="0018373C"/>
    <w:pPr>
      <w:ind w:left="720"/>
      <w:contextualSpacing/>
    </w:pPr>
  </w:style>
  <w:style w:type="character" w:styleId="IntenseEmphasis">
    <w:name w:val="Intense Emphasis"/>
    <w:basedOn w:val="DefaultParagraphFont"/>
    <w:uiPriority w:val="21"/>
    <w:qFormat/>
    <w:rsid w:val="0018373C"/>
    <w:rPr>
      <w:i/>
      <w:iCs/>
      <w:color w:val="0F4761" w:themeColor="accent1" w:themeShade="BF"/>
    </w:rPr>
  </w:style>
  <w:style w:type="paragraph" w:styleId="IntenseQuote">
    <w:name w:val="Intense Quote"/>
    <w:basedOn w:val="Normal"/>
    <w:next w:val="Normal"/>
    <w:link w:val="IntenseQuoteChar"/>
    <w:uiPriority w:val="30"/>
    <w:qFormat/>
    <w:rsid w:val="00183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73C"/>
    <w:rPr>
      <w:rFonts w:ascii="Arial" w:eastAsiaTheme="minorEastAsia" w:hAnsi="Arial"/>
      <w:i/>
      <w:iCs/>
      <w:color w:val="0F4761" w:themeColor="accent1" w:themeShade="BF"/>
      <w:kern w:val="0"/>
      <w:sz w:val="28"/>
      <w:szCs w:val="22"/>
      <w14:ligatures w14:val="none"/>
    </w:rPr>
  </w:style>
  <w:style w:type="character" w:styleId="IntenseReference">
    <w:name w:val="Intense Reference"/>
    <w:basedOn w:val="DefaultParagraphFont"/>
    <w:uiPriority w:val="32"/>
    <w:qFormat/>
    <w:rsid w:val="0018373C"/>
    <w:rPr>
      <w:b/>
      <w:bCs/>
      <w:smallCaps/>
      <w:color w:val="0F4761" w:themeColor="accent1" w:themeShade="BF"/>
      <w:spacing w:val="5"/>
    </w:rPr>
  </w:style>
  <w:style w:type="paragraph" w:styleId="NormalWeb">
    <w:name w:val="Normal (Web)"/>
    <w:basedOn w:val="Normal"/>
    <w:uiPriority w:val="99"/>
    <w:unhideWhenUsed/>
    <w:rsid w:val="001837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73C"/>
    <w:rPr>
      <w:b/>
      <w:bCs/>
    </w:rPr>
  </w:style>
  <w:style w:type="character" w:styleId="Hyperlink">
    <w:name w:val="Hyperlink"/>
    <w:basedOn w:val="DefaultParagraphFont"/>
    <w:uiPriority w:val="99"/>
    <w:unhideWhenUsed/>
    <w:rsid w:val="0018373C"/>
    <w:rPr>
      <w:color w:val="467886" w:themeColor="hyperlink"/>
      <w:u w:val="single"/>
    </w:rPr>
  </w:style>
  <w:style w:type="character" w:styleId="UnresolvedMention">
    <w:name w:val="Unresolved Mention"/>
    <w:basedOn w:val="DefaultParagraphFont"/>
    <w:uiPriority w:val="99"/>
    <w:semiHidden/>
    <w:unhideWhenUsed/>
    <w:rsid w:val="0018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1720</Words>
  <Characters>10980</Characters>
  <Application>Microsoft Office Word</Application>
  <DocSecurity>0</DocSecurity>
  <Lines>215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dc:description/>
  <cp:lastModifiedBy>Stacey Sullivan</cp:lastModifiedBy>
  <cp:revision>2</cp:revision>
  <dcterms:created xsi:type="dcterms:W3CDTF">2026-03-15T16:35:00Z</dcterms:created>
  <dcterms:modified xsi:type="dcterms:W3CDTF">2026-03-16T15:47:00Z</dcterms:modified>
</cp:coreProperties>
</file>