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997E" w14:textId="1BCFD7D2" w:rsidR="00A16050" w:rsidRDefault="00A16050" w:rsidP="00A8225A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A16050">
        <w:rPr>
          <w:rFonts w:ascii="Arial" w:eastAsia="Times New Roman" w:hAnsi="Arial" w:cs="Arial"/>
          <w:iCs/>
          <w:noProof/>
          <w:color w:val="000000"/>
          <w:sz w:val="28"/>
          <w:szCs w:val="28"/>
        </w:rPr>
        <w:drawing>
          <wp:inline distT="0" distB="0" distL="0" distR="0" wp14:anchorId="1BCDE0B8" wp14:editId="7D919535">
            <wp:extent cx="5943600" cy="898218"/>
            <wp:effectExtent l="0" t="0" r="0" b="0"/>
            <wp:docPr id="1" name="Picture 1" descr="Helen Keller National Center for DeafBlind Youths and Adults" title="HKN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IRPD\ALLISON\LOGOS\HKNC Official Logo\21-7 HKNC DeafBlin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5E5C" w14:textId="77777777" w:rsidR="00A16050" w:rsidRDefault="00A16050" w:rsidP="00A8225A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622AAEBC" w14:textId="0F2D569C" w:rsidR="00445E4F" w:rsidRDefault="00A16050" w:rsidP="00A8225A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</w:p>
    <w:p w14:paraId="57AF774C" w14:textId="549F3EF6" w:rsidR="00172EA4" w:rsidRDefault="008D7456" w:rsidP="004361EE">
      <w:pPr>
        <w:pStyle w:val="Heading1"/>
        <w:spacing w:before="120" w:after="120" w:line="240" w:lineRule="auto"/>
      </w:pPr>
      <w:r w:rsidRPr="00D73CD8">
        <w:t xml:space="preserve">Individuals with </w:t>
      </w:r>
      <w:r w:rsidR="00E118B4" w:rsidRPr="00D73CD8">
        <w:t>C</w:t>
      </w:r>
      <w:r w:rsidR="00B945E9" w:rsidRPr="00D73CD8">
        <w:t>ombined</w:t>
      </w:r>
      <w:r w:rsidRPr="00D73CD8">
        <w:t xml:space="preserve"> Hearing and Vision </w:t>
      </w:r>
      <w:r w:rsidR="00172EA4">
        <w:t xml:space="preserve">Loss: Data from the American Community </w:t>
      </w:r>
      <w:r w:rsidR="00E2756C" w:rsidRPr="00D73CD8">
        <w:t>Survey (</w:t>
      </w:r>
      <w:r w:rsidR="004A7E6E" w:rsidRPr="00D73CD8">
        <w:t>20</w:t>
      </w:r>
      <w:r w:rsidR="0085260C">
        <w:t xml:space="preserve">22) </w:t>
      </w:r>
    </w:p>
    <w:p w14:paraId="0C99A5A0" w14:textId="77777777" w:rsidR="003304A8" w:rsidRPr="003304A8" w:rsidRDefault="003304A8" w:rsidP="003304A8"/>
    <w:p w14:paraId="1F92A95A" w14:textId="58F886D7" w:rsidR="00CF5146" w:rsidRDefault="00E227FD" w:rsidP="003304A8">
      <w:pPr>
        <w:pStyle w:val="Heading2"/>
      </w:pPr>
      <w:r>
        <w:t>Source and Population</w:t>
      </w:r>
    </w:p>
    <w:p w14:paraId="50359C02" w14:textId="77777777" w:rsidR="0020573D" w:rsidRPr="0020573D" w:rsidRDefault="0020573D" w:rsidP="0020573D"/>
    <w:p w14:paraId="1874BDB8" w14:textId="0976CD5D" w:rsidR="00F47190" w:rsidRDefault="00F47190" w:rsidP="00F47190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A131C1">
        <w:rPr>
          <w:rFonts w:ascii="Arial" w:eastAsia="Times New Roman" w:hAnsi="Arial" w:cs="Arial"/>
          <w:iCs/>
          <w:color w:val="000000"/>
          <w:sz w:val="28"/>
          <w:szCs w:val="28"/>
          <w:u w:val="single"/>
        </w:rPr>
        <w:t>Source:</w:t>
      </w:r>
      <w:r w:rsidRPr="0005292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Conway, Megan &amp; Brown-Ogilvie, Tara (April 11, 2024) </w:t>
      </w:r>
      <w:r w:rsidRPr="00052923">
        <w:rPr>
          <w:rFonts w:ascii="Arial" w:eastAsia="Times New Roman" w:hAnsi="Arial" w:cs="Arial"/>
          <w:i/>
          <w:color w:val="000000"/>
          <w:sz w:val="28"/>
          <w:szCs w:val="28"/>
        </w:rPr>
        <w:t xml:space="preserve">Individuals with Combined Hearing and Vision Loss: Data from the </w:t>
      </w:r>
      <w:r>
        <w:rPr>
          <w:rFonts w:ascii="Arial" w:eastAsia="Times New Roman" w:hAnsi="Arial" w:cs="Arial"/>
          <w:i/>
          <w:color w:val="000000"/>
          <w:sz w:val="28"/>
          <w:szCs w:val="28"/>
        </w:rPr>
        <w:t xml:space="preserve">2022 </w:t>
      </w:r>
      <w:r w:rsidRPr="00052923">
        <w:rPr>
          <w:rFonts w:ascii="Arial" w:eastAsia="Times New Roman" w:hAnsi="Arial" w:cs="Arial"/>
          <w:i/>
          <w:color w:val="000000"/>
          <w:sz w:val="28"/>
          <w:szCs w:val="28"/>
        </w:rPr>
        <w:t>American Community Survey.</w:t>
      </w:r>
      <w:r w:rsidRPr="00052923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  <w:r w:rsidRPr="00052923">
        <w:rPr>
          <w:rFonts w:ascii="Arial" w:eastAsia="Times New Roman" w:hAnsi="Arial" w:cs="Arial"/>
          <w:iCs/>
          <w:color w:val="000000"/>
          <w:sz w:val="28"/>
          <w:szCs w:val="28"/>
        </w:rPr>
        <w:t>Sands Point, NY: IRPD Department, Helen Keller National Center for DeafBlind Youth and Adults. Note: Calculations by U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niversity of New Hampshire</w:t>
      </w:r>
      <w:r w:rsidRPr="0005292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Institute on Disability using the U.S. Census Bureau American Community Survey, 5-year and 1-year estimates, IPUMS data, University of Minnesota. Estimates are subject to sampling variation.</w:t>
      </w:r>
    </w:p>
    <w:p w14:paraId="519EF517" w14:textId="77777777" w:rsidR="00F47190" w:rsidRDefault="00F47190" w:rsidP="00F47190">
      <w:hyperlink r:id="rId8" w:history="1">
        <w:r w:rsidRPr="005A2943">
          <w:rPr>
            <w:rStyle w:val="Hyperlink"/>
            <w:rFonts w:ascii="Arial" w:eastAsia="Times New Roman" w:hAnsi="Arial" w:cs="Arial"/>
            <w:iCs/>
            <w:sz w:val="28"/>
            <w:szCs w:val="28"/>
          </w:rPr>
          <w:t>https://data.census.gov/table?q=2022%20disability</w:t>
        </w:r>
      </w:hyperlink>
    </w:p>
    <w:p w14:paraId="42FCD2BF" w14:textId="77777777" w:rsidR="00111A89" w:rsidRDefault="00111A89" w:rsidP="00F47190"/>
    <w:p w14:paraId="7BC54002" w14:textId="77777777" w:rsidR="00A131C1" w:rsidRDefault="00111A89" w:rsidP="00111A89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A131C1">
        <w:rPr>
          <w:rFonts w:ascii="Arial" w:eastAsia="Times New Roman" w:hAnsi="Arial" w:cs="Arial"/>
          <w:iCs/>
          <w:color w:val="000000"/>
          <w:sz w:val="28"/>
          <w:szCs w:val="28"/>
          <w:u w:val="single"/>
        </w:rPr>
        <w:t>Population:</w:t>
      </w:r>
      <w:r w:rsidRPr="00AC348F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A person with “combined hearing and vision/dual sensory loss,” for the purposes of these data summaries, refers to people who self-reported “yes” on the American Community Survey to BOTH of the following questions: </w:t>
      </w:r>
    </w:p>
    <w:p w14:paraId="77B12984" w14:textId="77777777" w:rsidR="00A131C1" w:rsidRDefault="00A131C1" w:rsidP="00111A89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50E2918D" w14:textId="2D538435" w:rsidR="00A131C1" w:rsidRDefault="00111A89" w:rsidP="00111A89">
      <w:pPr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</w:pPr>
      <w:r w:rsidRPr="007907C1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 xml:space="preserve">(1) Are you deaf or do you have serious difficulty hearing? </w:t>
      </w:r>
    </w:p>
    <w:p w14:paraId="41795C65" w14:textId="77777777" w:rsidR="00733D3B" w:rsidRDefault="00733D3B" w:rsidP="00111A89">
      <w:pPr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</w:pPr>
    </w:p>
    <w:p w14:paraId="75FF31FA" w14:textId="77777777" w:rsidR="00A131C1" w:rsidRDefault="00111A89" w:rsidP="00111A89">
      <w:pPr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</w:pPr>
      <w:r w:rsidRPr="007907C1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 xml:space="preserve">(2) Are you blind or do you have serious difficulty seeing even when wearing glasses? </w:t>
      </w:r>
    </w:p>
    <w:p w14:paraId="11DA3712" w14:textId="77777777" w:rsidR="00A131C1" w:rsidRDefault="00A131C1" w:rsidP="00111A89">
      <w:pPr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</w:pPr>
    </w:p>
    <w:p w14:paraId="60E32658" w14:textId="5A2D2B12" w:rsidR="00111A89" w:rsidRDefault="00111A89" w:rsidP="00111A89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AC348F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This may include individuals who would be considered DeafBlind under federal guidelines as well as other individuals with both significant hearing and vision loss. </w:t>
      </w:r>
    </w:p>
    <w:p w14:paraId="616EBFFA" w14:textId="77777777" w:rsidR="00A131C1" w:rsidRDefault="00A131C1" w:rsidP="00111A89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398BDD53" w14:textId="77777777" w:rsidR="00A131C1" w:rsidRDefault="00A131C1" w:rsidP="00111A89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06B67D05" w14:textId="77777777" w:rsidR="00A131C1" w:rsidRDefault="00A131C1" w:rsidP="00111A89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2A619C20" w14:textId="26F25A37" w:rsidR="005F669E" w:rsidRDefault="005F669E" w:rsidP="007E5A71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35E3842A" w14:textId="0DF54ADD" w:rsidR="0022250C" w:rsidRDefault="0022250C" w:rsidP="00111A89">
      <w:pPr>
        <w:pStyle w:val="Heading2"/>
      </w:pPr>
      <w:r>
        <w:lastRenderedPageBreak/>
        <w:t>General</w:t>
      </w:r>
    </w:p>
    <w:p w14:paraId="1446CD26" w14:textId="77777777" w:rsidR="0020573D" w:rsidRPr="0020573D" w:rsidRDefault="0020573D" w:rsidP="0020573D"/>
    <w:p w14:paraId="00A887C6" w14:textId="77777777" w:rsidR="001D6F43" w:rsidRPr="001D6F43" w:rsidRDefault="0022250C" w:rsidP="001D6F43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According to data collected from the 20</w:t>
      </w:r>
      <w:r w:rsidR="002F798B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22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American Community Survey (ACS), approximately 2.47 million Americans</w:t>
      </w:r>
      <w:r w:rsidR="00DB70E7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, or 0.75% of the population,</w:t>
      </w:r>
      <w:r w:rsidR="008D7456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have combined</w:t>
      </w:r>
      <w:r w:rsidR="009F1772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hearing and vision loss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. </w:t>
      </w:r>
    </w:p>
    <w:p w14:paraId="6DF0D9EF" w14:textId="77777777" w:rsidR="001D6F43" w:rsidRDefault="001D6F43" w:rsidP="0022250C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0988E910" w14:textId="5C6D7365" w:rsidR="0022250C" w:rsidRPr="001D6F43" w:rsidRDefault="00DB70E7" w:rsidP="001D6F43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This number </w:t>
      </w:r>
      <w:r w:rsidR="0022250C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has remained </w:t>
      </w:r>
      <w:proofErr w:type="gramStart"/>
      <w:r w:rsidR="0022250C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fairly consistent</w:t>
      </w:r>
      <w:proofErr w:type="gramEnd"/>
      <w:r w:rsidR="0022250C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over the past</w:t>
      </w:r>
      <w:r w:rsidR="0031549F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22250C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10 years.</w:t>
      </w:r>
    </w:p>
    <w:p w14:paraId="44B4FC8D" w14:textId="77777777" w:rsidR="002250E2" w:rsidRDefault="002250E2" w:rsidP="0022250C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40A6F454" w14:textId="77777777" w:rsidR="001D6F43" w:rsidRPr="001D6F43" w:rsidRDefault="002250E2" w:rsidP="001D6F43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D6F43">
        <w:rPr>
          <w:rFonts w:ascii="Arial" w:hAnsi="Arial" w:cs="Arial"/>
          <w:sz w:val="28"/>
          <w:szCs w:val="28"/>
        </w:rPr>
        <w:t xml:space="preserve">Approximately </w:t>
      </w:r>
      <w:r w:rsidR="00B815F0" w:rsidRPr="001D6F43">
        <w:rPr>
          <w:rFonts w:ascii="Arial" w:hAnsi="Arial" w:cs="Arial"/>
          <w:sz w:val="28"/>
          <w:szCs w:val="28"/>
        </w:rPr>
        <w:t>95,521</w:t>
      </w:r>
      <w:r w:rsidR="00CA3D29" w:rsidRPr="001D6F43">
        <w:rPr>
          <w:rFonts w:ascii="Arial" w:hAnsi="Arial" w:cs="Arial"/>
          <w:sz w:val="28"/>
          <w:szCs w:val="28"/>
        </w:rPr>
        <w:t xml:space="preserve"> </w:t>
      </w:r>
      <w:r w:rsidRPr="001D6F43">
        <w:rPr>
          <w:rFonts w:ascii="Arial" w:hAnsi="Arial" w:cs="Arial"/>
          <w:sz w:val="28"/>
          <w:szCs w:val="28"/>
        </w:rPr>
        <w:t>are</w:t>
      </w:r>
      <w:r w:rsidR="00FE1173" w:rsidRPr="001D6F43">
        <w:rPr>
          <w:rFonts w:ascii="Arial" w:hAnsi="Arial" w:cs="Arial"/>
          <w:sz w:val="28"/>
          <w:szCs w:val="28"/>
        </w:rPr>
        <w:t xml:space="preserve"> under the age of 18 (</w:t>
      </w:r>
      <w:r w:rsidR="00081CD6" w:rsidRPr="001D6F43">
        <w:rPr>
          <w:rFonts w:ascii="Arial" w:hAnsi="Arial" w:cs="Arial"/>
          <w:sz w:val="28"/>
          <w:szCs w:val="28"/>
        </w:rPr>
        <w:t>3.9</w:t>
      </w:r>
      <w:r w:rsidR="00FE1173" w:rsidRPr="001D6F43">
        <w:rPr>
          <w:rFonts w:ascii="Arial" w:hAnsi="Arial" w:cs="Arial"/>
          <w:sz w:val="28"/>
          <w:szCs w:val="28"/>
        </w:rPr>
        <w:t xml:space="preserve">%). </w:t>
      </w:r>
    </w:p>
    <w:p w14:paraId="4893F6DD" w14:textId="77777777" w:rsidR="001D6F43" w:rsidRDefault="001D6F43" w:rsidP="002250E2">
      <w:pPr>
        <w:rPr>
          <w:rFonts w:ascii="Arial" w:hAnsi="Arial" w:cs="Arial"/>
          <w:sz w:val="28"/>
          <w:szCs w:val="28"/>
        </w:rPr>
      </w:pPr>
    </w:p>
    <w:p w14:paraId="1078BA23" w14:textId="77777777" w:rsidR="001D6F43" w:rsidRPr="001D6F43" w:rsidRDefault="00FE1173" w:rsidP="001D6F43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gramStart"/>
      <w:r w:rsidRPr="001D6F43">
        <w:rPr>
          <w:rFonts w:ascii="Arial" w:hAnsi="Arial" w:cs="Arial"/>
          <w:sz w:val="28"/>
          <w:szCs w:val="28"/>
        </w:rPr>
        <w:t>W</w:t>
      </w:r>
      <w:r w:rsidR="002250E2" w:rsidRPr="001D6F43">
        <w:rPr>
          <w:rFonts w:ascii="Arial" w:hAnsi="Arial" w:cs="Arial"/>
          <w:sz w:val="28"/>
          <w:szCs w:val="28"/>
        </w:rPr>
        <w:t>orking age</w:t>
      </w:r>
      <w:proofErr w:type="gramEnd"/>
      <w:r w:rsidR="002250E2" w:rsidRPr="001D6F43">
        <w:rPr>
          <w:rFonts w:ascii="Arial" w:hAnsi="Arial" w:cs="Arial"/>
          <w:sz w:val="28"/>
          <w:szCs w:val="28"/>
        </w:rPr>
        <w:t xml:space="preserve"> </w:t>
      </w:r>
      <w:r w:rsidRPr="001D6F43">
        <w:rPr>
          <w:rFonts w:ascii="Arial" w:hAnsi="Arial" w:cs="Arial"/>
          <w:sz w:val="28"/>
          <w:szCs w:val="28"/>
        </w:rPr>
        <w:t xml:space="preserve">adults </w:t>
      </w:r>
      <w:r w:rsidR="002250E2" w:rsidRPr="001D6F43">
        <w:rPr>
          <w:rFonts w:ascii="Arial" w:hAnsi="Arial" w:cs="Arial"/>
          <w:sz w:val="28"/>
          <w:szCs w:val="28"/>
        </w:rPr>
        <w:t xml:space="preserve">(18 to 54) </w:t>
      </w:r>
      <w:r w:rsidRPr="001D6F43">
        <w:rPr>
          <w:rFonts w:ascii="Arial" w:hAnsi="Arial" w:cs="Arial"/>
          <w:sz w:val="28"/>
          <w:szCs w:val="28"/>
        </w:rPr>
        <w:t xml:space="preserve">make up </w:t>
      </w:r>
      <w:r w:rsidR="00081CD6" w:rsidRPr="001D6F43">
        <w:rPr>
          <w:rFonts w:ascii="Arial" w:hAnsi="Arial" w:cs="Arial"/>
          <w:sz w:val="28"/>
          <w:szCs w:val="28"/>
        </w:rPr>
        <w:t>434</w:t>
      </w:r>
      <w:r w:rsidR="003F6EBA" w:rsidRPr="001D6F43">
        <w:rPr>
          <w:rFonts w:ascii="Arial" w:hAnsi="Arial" w:cs="Arial"/>
          <w:sz w:val="28"/>
          <w:szCs w:val="28"/>
        </w:rPr>
        <w:t>,</w:t>
      </w:r>
      <w:r w:rsidR="00081CD6" w:rsidRPr="001D6F43">
        <w:rPr>
          <w:rFonts w:ascii="Arial" w:hAnsi="Arial" w:cs="Arial"/>
          <w:sz w:val="28"/>
          <w:szCs w:val="28"/>
        </w:rPr>
        <w:t>080</w:t>
      </w:r>
      <w:r w:rsidR="00CA3D29" w:rsidRPr="001D6F43">
        <w:rPr>
          <w:rFonts w:ascii="Arial" w:hAnsi="Arial" w:cs="Arial"/>
          <w:sz w:val="28"/>
          <w:szCs w:val="28"/>
        </w:rPr>
        <w:t xml:space="preserve"> </w:t>
      </w:r>
      <w:r w:rsidR="00B15AD3" w:rsidRPr="001D6F43">
        <w:rPr>
          <w:rFonts w:ascii="Arial" w:hAnsi="Arial" w:cs="Arial"/>
          <w:sz w:val="28"/>
          <w:szCs w:val="28"/>
        </w:rPr>
        <w:t xml:space="preserve">or </w:t>
      </w:r>
      <w:r w:rsidR="003F6EBA" w:rsidRPr="001D6F43">
        <w:rPr>
          <w:rFonts w:ascii="Arial" w:hAnsi="Arial" w:cs="Arial"/>
          <w:sz w:val="28"/>
          <w:szCs w:val="28"/>
        </w:rPr>
        <w:t>17.6</w:t>
      </w:r>
      <w:r w:rsidR="00B15AD3" w:rsidRPr="001D6F43">
        <w:rPr>
          <w:rFonts w:ascii="Arial" w:hAnsi="Arial" w:cs="Arial"/>
          <w:sz w:val="28"/>
          <w:szCs w:val="28"/>
        </w:rPr>
        <w:t>%</w:t>
      </w:r>
      <w:r w:rsidR="002250E2" w:rsidRPr="001D6F43">
        <w:rPr>
          <w:rFonts w:ascii="Arial" w:hAnsi="Arial" w:cs="Arial"/>
          <w:sz w:val="28"/>
          <w:szCs w:val="28"/>
        </w:rPr>
        <w:t xml:space="preserve"> of the population</w:t>
      </w:r>
      <w:r w:rsidR="00B15AD3" w:rsidRPr="001D6F43">
        <w:rPr>
          <w:rFonts w:ascii="Arial" w:hAnsi="Arial" w:cs="Arial"/>
          <w:sz w:val="28"/>
          <w:szCs w:val="28"/>
        </w:rPr>
        <w:t xml:space="preserve">. </w:t>
      </w:r>
    </w:p>
    <w:p w14:paraId="70C39BEB" w14:textId="77777777" w:rsidR="001D6F43" w:rsidRDefault="001D6F43" w:rsidP="002250E2">
      <w:pPr>
        <w:rPr>
          <w:rFonts w:ascii="Arial" w:hAnsi="Arial" w:cs="Arial"/>
          <w:sz w:val="28"/>
          <w:szCs w:val="28"/>
        </w:rPr>
      </w:pPr>
    </w:p>
    <w:p w14:paraId="336ACEF7" w14:textId="02898518" w:rsidR="002250E2" w:rsidRPr="001D6F43" w:rsidRDefault="00B15AD3" w:rsidP="001D6F43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D6F43">
        <w:rPr>
          <w:rFonts w:ascii="Arial" w:hAnsi="Arial" w:cs="Arial"/>
          <w:sz w:val="28"/>
          <w:szCs w:val="28"/>
        </w:rPr>
        <w:t xml:space="preserve">With older adults (55+) making up the remainder of persons </w:t>
      </w:r>
      <w:r w:rsidR="005E70B5" w:rsidRPr="001D6F43">
        <w:rPr>
          <w:rFonts w:ascii="Arial" w:hAnsi="Arial" w:cs="Arial"/>
          <w:sz w:val="28"/>
          <w:szCs w:val="28"/>
        </w:rPr>
        <w:t xml:space="preserve">with reported dual sensory loss. </w:t>
      </w:r>
    </w:p>
    <w:p w14:paraId="739DC1BC" w14:textId="77777777" w:rsidR="00EC0900" w:rsidRDefault="00EC0900" w:rsidP="005E70B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507E21B3" w14:textId="57EF8791" w:rsidR="00EC0900" w:rsidRDefault="00EF2204" w:rsidP="005E70B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B309B79" wp14:editId="41710A2D">
            <wp:extent cx="5943600" cy="3364230"/>
            <wp:effectExtent l="0" t="0" r="0" b="7620"/>
            <wp:docPr id="65748137" name="Chart 1" descr="Pie chart illustrating dual sensory loss by age group in the U.S. according to 2022 ACS data. The largest group is older adults 55+ at 79%, the 2nd largest group is adults age 18-54, with the last and smallest group comprising of youth under 18 years old at a 4% prevalence rate.">
              <a:extLst xmlns:a="http://schemas.openxmlformats.org/drawingml/2006/main">
                <a:ext uri="{FF2B5EF4-FFF2-40B4-BE49-F238E27FC236}">
                  <a16:creationId xmlns:a16="http://schemas.microsoft.com/office/drawing/2014/main" id="{97721BBE-D2DC-CBDA-2AC4-1864512808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CCCF5A3" w14:textId="77777777" w:rsidR="00CA661A" w:rsidRDefault="00CA661A" w:rsidP="0022250C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4DCD7E85" w14:textId="77777777" w:rsidR="009150BA" w:rsidRDefault="009150BA" w:rsidP="009150BA">
      <w:pPr>
        <w:pStyle w:val="Heading2"/>
      </w:pPr>
      <w:r>
        <w:t>Older Adults</w:t>
      </w:r>
    </w:p>
    <w:p w14:paraId="6BDE900C" w14:textId="77777777" w:rsidR="0020573D" w:rsidRPr="0020573D" w:rsidRDefault="0020573D" w:rsidP="0020573D"/>
    <w:p w14:paraId="50F3E26A" w14:textId="77777777" w:rsidR="001D6F43" w:rsidRPr="001D6F43" w:rsidRDefault="009150BA" w:rsidP="001D6F4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Nearly 80% of respondents over the </w:t>
      </w:r>
      <w:proofErr w:type="gramStart"/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age</w:t>
      </w:r>
      <w:proofErr w:type="gramEnd"/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55 reported both vision and hearing difficulty. </w:t>
      </w:r>
    </w:p>
    <w:p w14:paraId="779A3A08" w14:textId="77777777" w:rsidR="001D6F43" w:rsidRDefault="001D6F43" w:rsidP="009150BA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12A1785B" w14:textId="77777777" w:rsidR="001D6F43" w:rsidRPr="001D6F43" w:rsidRDefault="009150BA" w:rsidP="001D6F4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lastRenderedPageBreak/>
        <w:t xml:space="preserve">Adults who are 55 and older are the largest population of individuals who have combined hearing and vision loss in the United States. </w:t>
      </w:r>
    </w:p>
    <w:p w14:paraId="3E50E75A" w14:textId="77777777" w:rsidR="001D6F43" w:rsidRDefault="001D6F43" w:rsidP="009150BA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5F7B8C5B" w14:textId="579305C3" w:rsidR="009150BA" w:rsidRPr="001D6F43" w:rsidRDefault="009150BA" w:rsidP="001D6F4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Further, older adults over the age of 65 represent approximately 65% of the population with a dual sensory loss.</w:t>
      </w:r>
    </w:p>
    <w:p w14:paraId="0A69A1F8" w14:textId="77777777" w:rsidR="00CA661A" w:rsidRDefault="00CA661A" w:rsidP="0022250C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0E0C228E" w14:textId="77777777" w:rsidR="007B4AFC" w:rsidRDefault="007B4AFC" w:rsidP="00111A89">
      <w:pPr>
        <w:pStyle w:val="Heading2"/>
      </w:pPr>
      <w:r>
        <w:t>By State</w:t>
      </w:r>
    </w:p>
    <w:p w14:paraId="5237A394" w14:textId="77777777" w:rsidR="0020573D" w:rsidRPr="0020573D" w:rsidRDefault="0020573D" w:rsidP="0020573D"/>
    <w:p w14:paraId="724941AE" w14:textId="089CDF60" w:rsidR="00DF7BEC" w:rsidRDefault="007B4AFC" w:rsidP="0022250C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B90E27">
        <w:rPr>
          <w:rFonts w:ascii="Arial" w:eastAsia="Times New Roman" w:hAnsi="Arial" w:cs="Arial"/>
          <w:iCs/>
          <w:color w:val="000000"/>
          <w:sz w:val="28"/>
          <w:szCs w:val="28"/>
        </w:rPr>
        <w:t>The</w:t>
      </w:r>
      <w:r w:rsidR="00223782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Pr="00B90E27">
        <w:rPr>
          <w:rFonts w:ascii="Arial" w:eastAsia="Times New Roman" w:hAnsi="Arial" w:cs="Arial"/>
          <w:iCs/>
          <w:color w:val="000000"/>
          <w:sz w:val="28"/>
          <w:szCs w:val="28"/>
        </w:rPr>
        <w:t>prevalence of a dual sensory loss</w:t>
      </w:r>
      <w:r w:rsidR="00223782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can vary</w:t>
      </w:r>
      <w:r w:rsidRPr="00B90E27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by state</w:t>
      </w:r>
      <w:r w:rsidR="00E400D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. </w:t>
      </w:r>
      <w:r w:rsidR="00034618">
        <w:rPr>
          <w:rFonts w:ascii="Arial" w:eastAsia="Times New Roman" w:hAnsi="Arial" w:cs="Arial"/>
          <w:iCs/>
          <w:color w:val="000000"/>
          <w:sz w:val="28"/>
          <w:szCs w:val="28"/>
        </w:rPr>
        <w:t>B</w:t>
      </w:r>
      <w:r w:rsidR="00A37C67">
        <w:rPr>
          <w:rFonts w:ascii="Arial" w:eastAsia="Times New Roman" w:hAnsi="Arial" w:cs="Arial"/>
          <w:iCs/>
          <w:color w:val="000000"/>
          <w:sz w:val="28"/>
          <w:szCs w:val="28"/>
        </w:rPr>
        <w:t>elow are the</w:t>
      </w:r>
      <w:r w:rsidRPr="00B90E27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Pr="008856FB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states with the </w:t>
      </w:r>
      <w:r w:rsidRPr="008728CA">
        <w:rPr>
          <w:rFonts w:ascii="Arial" w:eastAsia="Times New Roman" w:hAnsi="Arial" w:cs="Arial"/>
          <w:b/>
          <w:bCs/>
          <w:iCs/>
          <w:color w:val="000000"/>
          <w:sz w:val="28"/>
          <w:szCs w:val="28"/>
          <w:u w:val="single"/>
        </w:rPr>
        <w:t>highest reported prevalence</w:t>
      </w:r>
      <w:r w:rsidR="001A4ABD" w:rsidRPr="008728CA">
        <w:rPr>
          <w:rFonts w:ascii="Arial" w:eastAsia="Times New Roman" w:hAnsi="Arial" w:cs="Arial"/>
          <w:b/>
          <w:bCs/>
          <w:iCs/>
          <w:color w:val="000000"/>
          <w:sz w:val="28"/>
          <w:szCs w:val="28"/>
          <w:u w:val="single"/>
        </w:rPr>
        <w:t xml:space="preserve"> levels</w:t>
      </w:r>
      <w:r w:rsidRPr="008856FB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of combined hearing and vision loss, where prevalence is greater than 1%</w:t>
      </w:r>
      <w:r w:rsidR="00034618">
        <w:rPr>
          <w:rFonts w:ascii="Arial" w:eastAsia="Times New Roman" w:hAnsi="Arial" w:cs="Arial"/>
          <w:iCs/>
          <w:color w:val="000000"/>
          <w:sz w:val="28"/>
          <w:szCs w:val="28"/>
        </w:rPr>
        <w:t>, over a 5 year period</w:t>
      </w:r>
      <w:r w:rsidR="00034618" w:rsidRPr="00B90E27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CE62FE">
        <w:rPr>
          <w:rFonts w:ascii="Arial" w:eastAsia="Times New Roman" w:hAnsi="Arial" w:cs="Arial"/>
          <w:iCs/>
          <w:color w:val="000000"/>
          <w:sz w:val="28"/>
          <w:szCs w:val="28"/>
        </w:rPr>
        <w:t>between</w:t>
      </w:r>
      <w:r w:rsidR="00034618" w:rsidRPr="00B90E27">
        <w:rPr>
          <w:rFonts w:ascii="Arial" w:eastAsia="Times New Roman" w:hAnsi="Arial" w:cs="Arial"/>
          <w:iCs/>
          <w:color w:val="000000"/>
          <w:sz w:val="28"/>
          <w:szCs w:val="28"/>
        </w:rPr>
        <w:t>2017-2022</w:t>
      </w:r>
      <w:r w:rsidR="00CE62FE">
        <w:rPr>
          <w:rFonts w:ascii="Arial" w:eastAsia="Times New Roman" w:hAnsi="Arial" w:cs="Arial"/>
          <w:iCs/>
          <w:color w:val="000000"/>
          <w:sz w:val="28"/>
          <w:szCs w:val="28"/>
        </w:rPr>
        <w:t>.</w:t>
      </w:r>
    </w:p>
    <w:p w14:paraId="6A9A6D78" w14:textId="77777777" w:rsidR="00A37C67" w:rsidRDefault="00A37C67" w:rsidP="0022250C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59A15934" w14:textId="77777777" w:rsidR="00DF7BEC" w:rsidRDefault="00DF7BEC" w:rsidP="00DF7BEC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41"/>
        <w:gridCol w:w="3984"/>
      </w:tblGrid>
      <w:tr w:rsidR="00DF7BEC" w14:paraId="74CF00E5" w14:textId="77777777" w:rsidTr="00654BE4">
        <w:trPr>
          <w:trHeight w:val="472"/>
          <w:jc w:val="center"/>
        </w:trPr>
        <w:tc>
          <w:tcPr>
            <w:tcW w:w="3841" w:type="dxa"/>
            <w:shd w:val="clear" w:color="auto" w:fill="FFD966" w:themeFill="accent4" w:themeFillTint="99"/>
            <w:vAlign w:val="center"/>
          </w:tcPr>
          <w:p w14:paraId="0DF1BA9A" w14:textId="416680B7" w:rsidR="00DF7BEC" w:rsidRPr="00A37C67" w:rsidRDefault="009038D2" w:rsidP="00F818B3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A37C67"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  <w:t>State</w:t>
            </w:r>
          </w:p>
        </w:tc>
        <w:tc>
          <w:tcPr>
            <w:tcW w:w="3984" w:type="dxa"/>
            <w:shd w:val="clear" w:color="auto" w:fill="FFD966" w:themeFill="accent4" w:themeFillTint="99"/>
            <w:vAlign w:val="center"/>
          </w:tcPr>
          <w:p w14:paraId="0D90530E" w14:textId="1794071D" w:rsidR="00DF7BEC" w:rsidRPr="00A37C67" w:rsidRDefault="009038D2" w:rsidP="00F818B3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A37C67"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  <w:t>DeafBlind Prevalence Level</w:t>
            </w:r>
          </w:p>
        </w:tc>
      </w:tr>
      <w:tr w:rsidR="00DF7BEC" w14:paraId="17404182" w14:textId="77777777" w:rsidTr="00A37C67">
        <w:trPr>
          <w:trHeight w:val="454"/>
          <w:jc w:val="center"/>
        </w:trPr>
        <w:tc>
          <w:tcPr>
            <w:tcW w:w="3841" w:type="dxa"/>
          </w:tcPr>
          <w:p w14:paraId="446255F7" w14:textId="223F472D" w:rsidR="00DF7BEC" w:rsidRPr="00CE62FE" w:rsidRDefault="009038D2" w:rsidP="00CE62FE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CE62FE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West Virginia</w:t>
            </w:r>
          </w:p>
        </w:tc>
        <w:tc>
          <w:tcPr>
            <w:tcW w:w="3984" w:type="dxa"/>
          </w:tcPr>
          <w:p w14:paraId="0B88B97A" w14:textId="4BD43F80" w:rsidR="00DF7BEC" w:rsidRDefault="009038D2" w:rsidP="00A37C67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1.50%</w:t>
            </w:r>
          </w:p>
        </w:tc>
      </w:tr>
      <w:tr w:rsidR="00DF7BEC" w14:paraId="182B6CCE" w14:textId="77777777" w:rsidTr="00A37C67">
        <w:trPr>
          <w:trHeight w:val="472"/>
          <w:jc w:val="center"/>
        </w:trPr>
        <w:tc>
          <w:tcPr>
            <w:tcW w:w="3841" w:type="dxa"/>
          </w:tcPr>
          <w:p w14:paraId="171DD6F2" w14:textId="55DB920B" w:rsidR="00DF7BEC" w:rsidRPr="00CE62FE" w:rsidRDefault="009038D2" w:rsidP="00CE62FE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CE62FE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New Mexico</w:t>
            </w:r>
          </w:p>
        </w:tc>
        <w:tc>
          <w:tcPr>
            <w:tcW w:w="3984" w:type="dxa"/>
          </w:tcPr>
          <w:p w14:paraId="6ECBB6A9" w14:textId="54B73B53" w:rsidR="00DF7BEC" w:rsidRDefault="00BB50F4" w:rsidP="00A37C67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1.27%</w:t>
            </w:r>
          </w:p>
        </w:tc>
      </w:tr>
      <w:tr w:rsidR="00A16450" w14:paraId="4F86DFB4" w14:textId="77777777" w:rsidTr="00A37C67">
        <w:trPr>
          <w:trHeight w:val="472"/>
          <w:jc w:val="center"/>
        </w:trPr>
        <w:tc>
          <w:tcPr>
            <w:tcW w:w="3841" w:type="dxa"/>
          </w:tcPr>
          <w:p w14:paraId="1639981B" w14:textId="49418642" w:rsidR="00A16450" w:rsidRPr="00CE62FE" w:rsidRDefault="00A16450" w:rsidP="00CE62FE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CE62FE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Arkansas</w:t>
            </w:r>
          </w:p>
        </w:tc>
        <w:tc>
          <w:tcPr>
            <w:tcW w:w="3984" w:type="dxa"/>
          </w:tcPr>
          <w:p w14:paraId="3A8D085E" w14:textId="10025F06" w:rsidR="00A16450" w:rsidRDefault="00A16450" w:rsidP="00A37C67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1.19%</w:t>
            </w:r>
          </w:p>
        </w:tc>
      </w:tr>
      <w:tr w:rsidR="00DF7BEC" w14:paraId="28135881" w14:textId="77777777" w:rsidTr="00A37C67">
        <w:trPr>
          <w:trHeight w:val="472"/>
          <w:jc w:val="center"/>
        </w:trPr>
        <w:tc>
          <w:tcPr>
            <w:tcW w:w="3841" w:type="dxa"/>
          </w:tcPr>
          <w:p w14:paraId="54F9D49B" w14:textId="4602C3B8" w:rsidR="00DF7BEC" w:rsidRPr="00CE62FE" w:rsidRDefault="00BB50F4" w:rsidP="00CE62FE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CE62FE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Oklahoma</w:t>
            </w:r>
          </w:p>
        </w:tc>
        <w:tc>
          <w:tcPr>
            <w:tcW w:w="3984" w:type="dxa"/>
          </w:tcPr>
          <w:p w14:paraId="0F5E19E0" w14:textId="2B498C95" w:rsidR="00DF7BEC" w:rsidRDefault="00BB50F4" w:rsidP="00A37C67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1.17%</w:t>
            </w:r>
          </w:p>
        </w:tc>
      </w:tr>
      <w:tr w:rsidR="00DF7BEC" w14:paraId="4810A935" w14:textId="77777777" w:rsidTr="00A37C67">
        <w:trPr>
          <w:trHeight w:val="454"/>
          <w:jc w:val="center"/>
        </w:trPr>
        <w:tc>
          <w:tcPr>
            <w:tcW w:w="3841" w:type="dxa"/>
          </w:tcPr>
          <w:p w14:paraId="09371433" w14:textId="637E856A" w:rsidR="00DF7BEC" w:rsidRPr="00CE62FE" w:rsidRDefault="00BB50F4" w:rsidP="00CE62FE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CE62FE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Kentucky</w:t>
            </w:r>
          </w:p>
        </w:tc>
        <w:tc>
          <w:tcPr>
            <w:tcW w:w="3984" w:type="dxa"/>
          </w:tcPr>
          <w:p w14:paraId="210E9902" w14:textId="487772B4" w:rsidR="00DF7BEC" w:rsidRDefault="00BB50F4" w:rsidP="00A37C67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1.14%</w:t>
            </w:r>
          </w:p>
        </w:tc>
      </w:tr>
      <w:tr w:rsidR="00DF7BEC" w14:paraId="0D846BC2" w14:textId="77777777" w:rsidTr="00A37C67">
        <w:trPr>
          <w:trHeight w:val="472"/>
          <w:jc w:val="center"/>
        </w:trPr>
        <w:tc>
          <w:tcPr>
            <w:tcW w:w="3841" w:type="dxa"/>
          </w:tcPr>
          <w:p w14:paraId="42383B08" w14:textId="07D1100C" w:rsidR="00DF7BEC" w:rsidRPr="00CE62FE" w:rsidRDefault="00A16450" w:rsidP="00CE62FE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CE62FE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Mississippi</w:t>
            </w:r>
          </w:p>
        </w:tc>
        <w:tc>
          <w:tcPr>
            <w:tcW w:w="3984" w:type="dxa"/>
          </w:tcPr>
          <w:p w14:paraId="023D8783" w14:textId="7071C922" w:rsidR="00DF7BEC" w:rsidRDefault="003245C8" w:rsidP="00A37C67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1.13%</w:t>
            </w:r>
          </w:p>
        </w:tc>
      </w:tr>
      <w:tr w:rsidR="003245C8" w14:paraId="4B88BE00" w14:textId="77777777" w:rsidTr="00A37C67">
        <w:trPr>
          <w:trHeight w:val="472"/>
          <w:jc w:val="center"/>
        </w:trPr>
        <w:tc>
          <w:tcPr>
            <w:tcW w:w="3841" w:type="dxa"/>
          </w:tcPr>
          <w:p w14:paraId="0C894272" w14:textId="7A615C58" w:rsidR="003245C8" w:rsidRPr="00CE62FE" w:rsidRDefault="00B56EF9" w:rsidP="00CE62FE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CE62FE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Louisiana</w:t>
            </w:r>
          </w:p>
        </w:tc>
        <w:tc>
          <w:tcPr>
            <w:tcW w:w="3984" w:type="dxa"/>
          </w:tcPr>
          <w:p w14:paraId="08C6BE8C" w14:textId="406F0AF0" w:rsidR="003245C8" w:rsidRDefault="00B56EF9" w:rsidP="00A37C67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1.02%</w:t>
            </w:r>
          </w:p>
        </w:tc>
      </w:tr>
    </w:tbl>
    <w:p w14:paraId="5D3C84BC" w14:textId="77777777" w:rsidR="00DF7BEC" w:rsidRDefault="00DF7BEC" w:rsidP="00DF7BEC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372CC320" w14:textId="77777777" w:rsidR="00A37C67" w:rsidRPr="00DF7BEC" w:rsidRDefault="00A37C67" w:rsidP="00DF7BEC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653F9FE1" w14:textId="1388680D" w:rsidR="00F81749" w:rsidRDefault="00A37C67" w:rsidP="00A37C67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A37C67">
        <w:rPr>
          <w:rFonts w:ascii="Arial" w:eastAsia="Times New Roman" w:hAnsi="Arial" w:cs="Arial"/>
          <w:iCs/>
          <w:color w:val="000000"/>
          <w:sz w:val="28"/>
          <w:szCs w:val="28"/>
        </w:rPr>
        <w:t>The</w:t>
      </w:r>
      <w:r w:rsidR="002A1BC8">
        <w:rPr>
          <w:rFonts w:ascii="Arial" w:eastAsia="Times New Roman" w:hAnsi="Arial" w:cs="Arial"/>
          <w:iCs/>
          <w:color w:val="000000"/>
          <w:sz w:val="28"/>
          <w:szCs w:val="28"/>
        </w:rPr>
        <w:t>se are the</w:t>
      </w:r>
      <w:r w:rsidRPr="00A37C67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states with the </w:t>
      </w:r>
      <w:r w:rsidRPr="008728CA">
        <w:rPr>
          <w:rFonts w:ascii="Arial" w:eastAsia="Times New Roman" w:hAnsi="Arial" w:cs="Arial"/>
          <w:b/>
          <w:bCs/>
          <w:iCs/>
          <w:color w:val="000000"/>
          <w:sz w:val="28"/>
          <w:szCs w:val="28"/>
          <w:u w:val="single"/>
        </w:rPr>
        <w:t>lowest reported prevalence</w:t>
      </w:r>
      <w:r w:rsidR="00FD423A" w:rsidRPr="008728CA">
        <w:rPr>
          <w:rFonts w:ascii="Arial" w:eastAsia="Times New Roman" w:hAnsi="Arial" w:cs="Arial"/>
          <w:b/>
          <w:bCs/>
          <w:iCs/>
          <w:color w:val="000000"/>
          <w:sz w:val="28"/>
          <w:szCs w:val="28"/>
          <w:u w:val="single"/>
        </w:rPr>
        <w:t xml:space="preserve"> levels</w:t>
      </w:r>
      <w:r w:rsidRPr="008728CA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 xml:space="preserve"> </w:t>
      </w:r>
      <w:r w:rsidRPr="00A37C67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of combined hearing and vision loss, where prevalence is less than 0.6%, </w:t>
      </w:r>
      <w:r w:rsidR="00CE62FE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over a 5 year period </w:t>
      </w:r>
      <w:r w:rsidR="00F81749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between 2017-2022. </w:t>
      </w:r>
    </w:p>
    <w:p w14:paraId="00F834C1" w14:textId="77777777" w:rsidR="00F81749" w:rsidRDefault="00F81749" w:rsidP="00A37C67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75549BB0" w14:textId="77777777" w:rsidR="00F81749" w:rsidRDefault="00F81749" w:rsidP="00A37C67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41"/>
        <w:gridCol w:w="3984"/>
      </w:tblGrid>
      <w:tr w:rsidR="00B92C2C" w14:paraId="1CB40772" w14:textId="77777777" w:rsidTr="00654BE4">
        <w:trPr>
          <w:trHeight w:val="472"/>
          <w:jc w:val="center"/>
        </w:trPr>
        <w:tc>
          <w:tcPr>
            <w:tcW w:w="3841" w:type="dxa"/>
            <w:shd w:val="clear" w:color="auto" w:fill="FFD966" w:themeFill="accent4" w:themeFillTint="99"/>
            <w:vAlign w:val="center"/>
          </w:tcPr>
          <w:p w14:paraId="4B651392" w14:textId="77777777" w:rsidR="00B92C2C" w:rsidRPr="00A37C67" w:rsidRDefault="00B92C2C" w:rsidP="00F818B3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A37C67"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  <w:t>State</w:t>
            </w:r>
          </w:p>
        </w:tc>
        <w:tc>
          <w:tcPr>
            <w:tcW w:w="3984" w:type="dxa"/>
            <w:shd w:val="clear" w:color="auto" w:fill="FFD966" w:themeFill="accent4" w:themeFillTint="99"/>
            <w:vAlign w:val="center"/>
          </w:tcPr>
          <w:p w14:paraId="7FACA146" w14:textId="77777777" w:rsidR="00B92C2C" w:rsidRPr="00A37C67" w:rsidRDefault="00B92C2C" w:rsidP="00F818B3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A37C67"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  <w:t>DeafBlind Prevalence Level</w:t>
            </w:r>
          </w:p>
        </w:tc>
      </w:tr>
      <w:tr w:rsidR="00B92C2C" w14:paraId="3D8C1738" w14:textId="77777777" w:rsidTr="006B186C">
        <w:trPr>
          <w:trHeight w:val="454"/>
          <w:jc w:val="center"/>
        </w:trPr>
        <w:tc>
          <w:tcPr>
            <w:tcW w:w="3841" w:type="dxa"/>
          </w:tcPr>
          <w:p w14:paraId="418E748F" w14:textId="0ED6A427" w:rsidR="00B92C2C" w:rsidRPr="002A1BC8" w:rsidRDefault="00B92C2C" w:rsidP="002A1BC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2A1BC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 xml:space="preserve">Rhode Island </w:t>
            </w:r>
          </w:p>
        </w:tc>
        <w:tc>
          <w:tcPr>
            <w:tcW w:w="3984" w:type="dxa"/>
          </w:tcPr>
          <w:p w14:paraId="111A6B1E" w14:textId="43AD2AB8" w:rsidR="00B92C2C" w:rsidRDefault="00B92C2C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.58%</w:t>
            </w:r>
          </w:p>
        </w:tc>
      </w:tr>
      <w:tr w:rsidR="00B92C2C" w14:paraId="4ADD024A" w14:textId="77777777" w:rsidTr="006B186C">
        <w:trPr>
          <w:trHeight w:val="472"/>
          <w:jc w:val="center"/>
        </w:trPr>
        <w:tc>
          <w:tcPr>
            <w:tcW w:w="3841" w:type="dxa"/>
          </w:tcPr>
          <w:p w14:paraId="42639776" w14:textId="3F942180" w:rsidR="00B92C2C" w:rsidRPr="002A1BC8" w:rsidRDefault="00B80B7D" w:rsidP="002A1BC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2A1BC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Connecticut</w:t>
            </w:r>
          </w:p>
        </w:tc>
        <w:tc>
          <w:tcPr>
            <w:tcW w:w="3984" w:type="dxa"/>
          </w:tcPr>
          <w:p w14:paraId="01B654BA" w14:textId="2AEF53FC" w:rsidR="00B92C2C" w:rsidRDefault="00B80B7D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.57</w:t>
            </w:r>
            <w:r w:rsidR="00B92C2C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  <w:tr w:rsidR="00B92C2C" w14:paraId="0743BEF8" w14:textId="77777777" w:rsidTr="006B186C">
        <w:trPr>
          <w:trHeight w:val="472"/>
          <w:jc w:val="center"/>
        </w:trPr>
        <w:tc>
          <w:tcPr>
            <w:tcW w:w="3841" w:type="dxa"/>
          </w:tcPr>
          <w:p w14:paraId="1BADBCDC" w14:textId="6EEFAD3D" w:rsidR="00B92C2C" w:rsidRPr="002A1BC8" w:rsidRDefault="00B80B7D" w:rsidP="002A1BC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2A1BC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New Jersey</w:t>
            </w:r>
          </w:p>
        </w:tc>
        <w:tc>
          <w:tcPr>
            <w:tcW w:w="3984" w:type="dxa"/>
          </w:tcPr>
          <w:p w14:paraId="73330495" w14:textId="71EE1AAB" w:rsidR="00B92C2C" w:rsidRDefault="00DF406A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.54</w:t>
            </w:r>
            <w:r w:rsidR="00B92C2C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  <w:tr w:rsidR="00B92C2C" w14:paraId="495B37B2" w14:textId="77777777" w:rsidTr="006B186C">
        <w:trPr>
          <w:trHeight w:val="472"/>
          <w:jc w:val="center"/>
        </w:trPr>
        <w:tc>
          <w:tcPr>
            <w:tcW w:w="3841" w:type="dxa"/>
          </w:tcPr>
          <w:p w14:paraId="4D01E6DE" w14:textId="272C9FA2" w:rsidR="00B92C2C" w:rsidRPr="002A1BC8" w:rsidRDefault="00DF406A" w:rsidP="002A1BC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2A1BC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lastRenderedPageBreak/>
              <w:t>Minnesota</w:t>
            </w:r>
          </w:p>
        </w:tc>
        <w:tc>
          <w:tcPr>
            <w:tcW w:w="3984" w:type="dxa"/>
          </w:tcPr>
          <w:p w14:paraId="5D02A405" w14:textId="50FD7CD6" w:rsidR="00B92C2C" w:rsidRDefault="00DF406A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.54</w:t>
            </w:r>
            <w:r w:rsidR="00B92C2C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  <w:tr w:rsidR="00B92C2C" w14:paraId="3C0A5B0D" w14:textId="77777777" w:rsidTr="006B186C">
        <w:trPr>
          <w:trHeight w:val="454"/>
          <w:jc w:val="center"/>
        </w:trPr>
        <w:tc>
          <w:tcPr>
            <w:tcW w:w="3841" w:type="dxa"/>
          </w:tcPr>
          <w:p w14:paraId="4B748660" w14:textId="3B7ED007" w:rsidR="00B92C2C" w:rsidRPr="002A1BC8" w:rsidRDefault="00A70F8A" w:rsidP="002A1BC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2A1BC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Utah</w:t>
            </w:r>
          </w:p>
        </w:tc>
        <w:tc>
          <w:tcPr>
            <w:tcW w:w="3984" w:type="dxa"/>
          </w:tcPr>
          <w:p w14:paraId="5053DB21" w14:textId="34096ED6" w:rsidR="00B92C2C" w:rsidRDefault="00A70F8A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.51</w:t>
            </w:r>
            <w:r w:rsidR="00B92C2C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  <w:tr w:rsidR="00B92C2C" w14:paraId="6FF79259" w14:textId="77777777" w:rsidTr="006B186C">
        <w:trPr>
          <w:trHeight w:val="472"/>
          <w:jc w:val="center"/>
        </w:trPr>
        <w:tc>
          <w:tcPr>
            <w:tcW w:w="3841" w:type="dxa"/>
          </w:tcPr>
          <w:p w14:paraId="7453E84C" w14:textId="04A1C90C" w:rsidR="00B92C2C" w:rsidRPr="002A1BC8" w:rsidRDefault="002A1BC8" w:rsidP="002A1BC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2A1BC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Maryland</w:t>
            </w:r>
          </w:p>
        </w:tc>
        <w:tc>
          <w:tcPr>
            <w:tcW w:w="3984" w:type="dxa"/>
          </w:tcPr>
          <w:p w14:paraId="52039F00" w14:textId="29FD0AC2" w:rsidR="00B92C2C" w:rsidRDefault="001A660E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.</w:t>
            </w:r>
            <w:r w:rsidR="002A1BC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49</w:t>
            </w:r>
            <w:r w:rsidR="00B92C2C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  <w:tr w:rsidR="00B92C2C" w14:paraId="040A2728" w14:textId="77777777" w:rsidTr="006B186C">
        <w:trPr>
          <w:trHeight w:val="472"/>
          <w:jc w:val="center"/>
        </w:trPr>
        <w:tc>
          <w:tcPr>
            <w:tcW w:w="3841" w:type="dxa"/>
          </w:tcPr>
          <w:p w14:paraId="07B647E3" w14:textId="7200D2F6" w:rsidR="00B92C2C" w:rsidRPr="002A1BC8" w:rsidRDefault="002A1BC8" w:rsidP="002A1BC8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 w:rsidRPr="002A1BC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 xml:space="preserve">Washington, D.C. </w:t>
            </w:r>
          </w:p>
        </w:tc>
        <w:tc>
          <w:tcPr>
            <w:tcW w:w="3984" w:type="dxa"/>
          </w:tcPr>
          <w:p w14:paraId="76F08423" w14:textId="2FF01312" w:rsidR="00B92C2C" w:rsidRDefault="002A1BC8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.40</w:t>
            </w:r>
            <w:r w:rsidR="00B92C2C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</w:tbl>
    <w:p w14:paraId="1580089B" w14:textId="77777777" w:rsidR="001D6F43" w:rsidRDefault="001D6F43" w:rsidP="00475C4F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2C7DEA10" w14:textId="77777777" w:rsidR="001D6F43" w:rsidRPr="00475C4F" w:rsidRDefault="001D6F43" w:rsidP="00475C4F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37AE5C6A" w14:textId="010D2435" w:rsidR="00AC0863" w:rsidRDefault="00B2281D" w:rsidP="00111A89">
      <w:pPr>
        <w:pStyle w:val="Heading2"/>
      </w:pPr>
      <w:r>
        <w:t>Race/Ethnicity</w:t>
      </w:r>
    </w:p>
    <w:p w14:paraId="6FA755D8" w14:textId="77777777" w:rsidR="0020573D" w:rsidRPr="0020573D" w:rsidRDefault="0020573D" w:rsidP="0020573D"/>
    <w:p w14:paraId="3D3D5750" w14:textId="77777777" w:rsidR="00F818B3" w:rsidRDefault="00DB70E7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Data collected by the ACS on race/ethnicity when correlated with data on </w:t>
      </w:r>
      <w:r w:rsidR="00B945E9">
        <w:rPr>
          <w:rFonts w:ascii="Arial" w:eastAsia="Times New Roman" w:hAnsi="Arial" w:cs="Arial"/>
          <w:iCs/>
          <w:color w:val="000000"/>
          <w:sz w:val="28"/>
          <w:szCs w:val="28"/>
        </w:rPr>
        <w:t>combined</w:t>
      </w:r>
      <w:r w:rsidR="00FE1B28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hearing and vision loss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suggests that there may be discrepancies in either the prevalence and/or reporting of </w:t>
      </w:r>
      <w:r w:rsidR="00B945E9">
        <w:rPr>
          <w:rFonts w:ascii="Arial" w:eastAsia="Times New Roman" w:hAnsi="Arial" w:cs="Arial"/>
          <w:iCs/>
          <w:color w:val="000000"/>
          <w:sz w:val="28"/>
          <w:szCs w:val="28"/>
        </w:rPr>
        <w:t>combined</w:t>
      </w:r>
      <w:r w:rsidR="00FE1B28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hearing and vision loss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based on race/ethnicity. </w:t>
      </w:r>
    </w:p>
    <w:p w14:paraId="671BE218" w14:textId="77777777" w:rsidR="00F818B3" w:rsidRDefault="00F818B3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41"/>
        <w:gridCol w:w="3984"/>
      </w:tblGrid>
      <w:tr w:rsidR="00211FE8" w14:paraId="006721D2" w14:textId="77777777" w:rsidTr="00654BE4">
        <w:trPr>
          <w:trHeight w:val="472"/>
          <w:jc w:val="center"/>
        </w:trPr>
        <w:tc>
          <w:tcPr>
            <w:tcW w:w="3841" w:type="dxa"/>
            <w:shd w:val="clear" w:color="auto" w:fill="FFD966" w:themeFill="accent4" w:themeFillTint="99"/>
            <w:vAlign w:val="center"/>
          </w:tcPr>
          <w:p w14:paraId="6D2DE3A4" w14:textId="3F124002" w:rsidR="00211FE8" w:rsidRPr="00A37C67" w:rsidRDefault="007C55B7" w:rsidP="006B186C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  <w:t>Race/Ethnicity</w:t>
            </w:r>
          </w:p>
        </w:tc>
        <w:tc>
          <w:tcPr>
            <w:tcW w:w="3984" w:type="dxa"/>
            <w:shd w:val="clear" w:color="auto" w:fill="FFD966" w:themeFill="accent4" w:themeFillTint="99"/>
            <w:vAlign w:val="center"/>
          </w:tcPr>
          <w:p w14:paraId="1482FE6C" w14:textId="32B2BDCB" w:rsidR="00211FE8" w:rsidRPr="00A37C67" w:rsidRDefault="007C55B7" w:rsidP="006B186C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szCs w:val="28"/>
              </w:rPr>
              <w:t>Percentage</w:t>
            </w:r>
          </w:p>
        </w:tc>
      </w:tr>
      <w:tr w:rsidR="00211FE8" w14:paraId="569472DE" w14:textId="77777777" w:rsidTr="006B186C">
        <w:trPr>
          <w:trHeight w:val="454"/>
          <w:jc w:val="center"/>
        </w:trPr>
        <w:tc>
          <w:tcPr>
            <w:tcW w:w="3841" w:type="dxa"/>
          </w:tcPr>
          <w:p w14:paraId="0F892BB1" w14:textId="7F6996C1" w:rsidR="00211FE8" w:rsidRPr="002A1BC8" w:rsidRDefault="008B0448" w:rsidP="00211FE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 xml:space="preserve">White </w:t>
            </w:r>
          </w:p>
        </w:tc>
        <w:tc>
          <w:tcPr>
            <w:tcW w:w="3984" w:type="dxa"/>
          </w:tcPr>
          <w:p w14:paraId="1C5DD3D6" w14:textId="28833C80" w:rsidR="00211FE8" w:rsidRDefault="00BE58E6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64</w:t>
            </w:r>
            <w:r w:rsidR="00211FE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  <w:tr w:rsidR="00211FE8" w14:paraId="6E0D8129" w14:textId="77777777" w:rsidTr="006B186C">
        <w:trPr>
          <w:trHeight w:val="472"/>
          <w:jc w:val="center"/>
        </w:trPr>
        <w:tc>
          <w:tcPr>
            <w:tcW w:w="3841" w:type="dxa"/>
          </w:tcPr>
          <w:p w14:paraId="18078E8F" w14:textId="5C173873" w:rsidR="00211FE8" w:rsidRPr="002A1BC8" w:rsidRDefault="002B43CC" w:rsidP="00211FE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Hispanic</w:t>
            </w:r>
          </w:p>
        </w:tc>
        <w:tc>
          <w:tcPr>
            <w:tcW w:w="3984" w:type="dxa"/>
          </w:tcPr>
          <w:p w14:paraId="74F4CA9B" w14:textId="644BDA12" w:rsidR="00211FE8" w:rsidRDefault="00304DD4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16</w:t>
            </w:r>
            <w:r w:rsidR="00211FE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  <w:tr w:rsidR="00211FE8" w14:paraId="6B71FBCC" w14:textId="77777777" w:rsidTr="006B186C">
        <w:trPr>
          <w:trHeight w:val="472"/>
          <w:jc w:val="center"/>
        </w:trPr>
        <w:tc>
          <w:tcPr>
            <w:tcW w:w="3841" w:type="dxa"/>
          </w:tcPr>
          <w:p w14:paraId="1720EE9E" w14:textId="31F10FEA" w:rsidR="00211FE8" w:rsidRPr="002A1BC8" w:rsidRDefault="00304DD4" w:rsidP="00211FE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Black</w:t>
            </w:r>
          </w:p>
        </w:tc>
        <w:tc>
          <w:tcPr>
            <w:tcW w:w="3984" w:type="dxa"/>
          </w:tcPr>
          <w:p w14:paraId="656EEC74" w14:textId="054A6C7C" w:rsidR="00211FE8" w:rsidRDefault="00304DD4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11</w:t>
            </w:r>
            <w:r w:rsidR="00211FE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  <w:tr w:rsidR="00211FE8" w14:paraId="493B05B7" w14:textId="77777777" w:rsidTr="006B186C">
        <w:trPr>
          <w:trHeight w:val="472"/>
          <w:jc w:val="center"/>
        </w:trPr>
        <w:tc>
          <w:tcPr>
            <w:tcW w:w="3841" w:type="dxa"/>
          </w:tcPr>
          <w:p w14:paraId="0ED5C343" w14:textId="54CD5795" w:rsidR="00211FE8" w:rsidRPr="002A1BC8" w:rsidRDefault="00661D0A" w:rsidP="00211FE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Other</w:t>
            </w:r>
          </w:p>
        </w:tc>
        <w:tc>
          <w:tcPr>
            <w:tcW w:w="3984" w:type="dxa"/>
          </w:tcPr>
          <w:p w14:paraId="39B0A873" w14:textId="4951EA4A" w:rsidR="00211FE8" w:rsidRDefault="00661D0A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5</w:t>
            </w:r>
            <w:r w:rsidR="00211FE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  <w:tr w:rsidR="00211FE8" w14:paraId="289A4F28" w14:textId="77777777" w:rsidTr="006B186C">
        <w:trPr>
          <w:trHeight w:val="454"/>
          <w:jc w:val="center"/>
        </w:trPr>
        <w:tc>
          <w:tcPr>
            <w:tcW w:w="3841" w:type="dxa"/>
          </w:tcPr>
          <w:p w14:paraId="78571152" w14:textId="2B5749EB" w:rsidR="00211FE8" w:rsidRPr="002A1BC8" w:rsidRDefault="00661D0A" w:rsidP="00211FE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Asian</w:t>
            </w:r>
          </w:p>
        </w:tc>
        <w:tc>
          <w:tcPr>
            <w:tcW w:w="3984" w:type="dxa"/>
          </w:tcPr>
          <w:p w14:paraId="3F4080CF" w14:textId="1DB6795E" w:rsidR="00211FE8" w:rsidRDefault="00661D0A" w:rsidP="006B186C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4</w:t>
            </w:r>
            <w:r w:rsidR="00211FE8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%</w:t>
            </w:r>
          </w:p>
        </w:tc>
      </w:tr>
    </w:tbl>
    <w:p w14:paraId="2AC7CF16" w14:textId="77777777" w:rsidR="00986C2E" w:rsidRDefault="00986C2E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72CA1E1D" w14:textId="448E2508" w:rsidR="003A1490" w:rsidRDefault="00417C45" w:rsidP="00111A89">
      <w:pPr>
        <w:pStyle w:val="Heading2"/>
      </w:pPr>
      <w:r>
        <w:t>Employment</w:t>
      </w:r>
      <w:r w:rsidR="00072901">
        <w:t>: Employment Rates</w:t>
      </w:r>
    </w:p>
    <w:p w14:paraId="25E45F6A" w14:textId="77777777" w:rsidR="0020573D" w:rsidRPr="0020573D" w:rsidRDefault="0020573D" w:rsidP="0020573D"/>
    <w:p w14:paraId="183D92D4" w14:textId="77777777" w:rsidR="0020573D" w:rsidRPr="001D6F43" w:rsidRDefault="00F940E7" w:rsidP="001D6F4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Working age a</w:t>
      </w:r>
      <w:r w:rsidR="00392BBE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dults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(18 to 65) in the United States who report</w:t>
      </w:r>
      <w:r w:rsidR="004204FD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combined hearing and vision loss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E975BE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are </w:t>
      </w:r>
      <w:r w:rsidR="0098445B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almost </w:t>
      </w:r>
      <w:r w:rsidR="00E975BE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half as likely to be employed</w:t>
      </w:r>
      <w:r w:rsidR="00B41E54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. </w:t>
      </w:r>
    </w:p>
    <w:p w14:paraId="0318A0D5" w14:textId="77777777" w:rsidR="0020573D" w:rsidRDefault="0020573D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15E24E05" w14:textId="77777777" w:rsidR="0020573D" w:rsidRPr="001D6F43" w:rsidRDefault="00543C9D" w:rsidP="001D6F4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J</w:t>
      </w:r>
      <w:r w:rsidR="00CF374D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ust 3</w:t>
      </w:r>
      <w:r w:rsidR="00BF6369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8</w:t>
      </w:r>
      <w:r w:rsidR="00CF374D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% </w:t>
      </w:r>
      <w:r w:rsidR="00A12860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of </w:t>
      </w:r>
      <w:r w:rsidR="00F940E7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working age adults with 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combined hearing and vision loss</w:t>
      </w:r>
      <w:r w:rsidR="00FF3246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CF374D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are</w:t>
      </w:r>
      <w:r w:rsidR="00417C4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employed compared to 7</w:t>
      </w:r>
      <w:r w:rsidR="00E42906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5</w:t>
      </w:r>
      <w:r w:rsidR="00417C4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% of working age adults</w:t>
      </w:r>
      <w:r w:rsidR="00F940E7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without</w:t>
      </w:r>
      <w:r w:rsidR="004204FD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combined hearing and vision loss</w:t>
      </w:r>
      <w:r w:rsidR="00417C4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. </w:t>
      </w:r>
    </w:p>
    <w:p w14:paraId="658DEEAC" w14:textId="77777777" w:rsidR="0020573D" w:rsidRDefault="0020573D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4B51FC76" w14:textId="77777777" w:rsidR="0020573D" w:rsidRPr="001D6F43" w:rsidRDefault="00CF374D" w:rsidP="001D6F4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The </w:t>
      </w:r>
      <w:r w:rsidR="00DB6D24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percentage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who are </w:t>
      </w:r>
      <w:r w:rsidR="00417C4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u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nemployed (looking for work) is</w:t>
      </w:r>
      <w:r w:rsidR="00417C4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similar for both </w:t>
      </w:r>
      <w:r w:rsidR="00F940E7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those with and without</w:t>
      </w:r>
      <w:r w:rsidR="004204FD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proofErr w:type="gramStart"/>
      <w:r w:rsidR="004204FD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combined</w:t>
      </w:r>
      <w:proofErr w:type="gramEnd"/>
      <w:r w:rsidR="004204FD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hearing and vision loss</w:t>
      </w:r>
      <w:r w:rsidR="00731DC1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417C4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(3.</w:t>
      </w:r>
      <w:r w:rsidR="00632DAC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6</w:t>
      </w:r>
      <w:r w:rsidR="00417C4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% and 3.</w:t>
      </w:r>
      <w:r w:rsidR="00632DAC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3</w:t>
      </w:r>
      <w:r w:rsidR="00417C4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% respectively)</w:t>
      </w:r>
      <w:r w:rsidR="00E975BE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. </w:t>
      </w:r>
    </w:p>
    <w:p w14:paraId="2CF9A87F" w14:textId="77777777" w:rsidR="0020573D" w:rsidRDefault="0020573D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7EF738D5" w14:textId="234F1C33" w:rsidR="00250961" w:rsidRPr="001D6F43" w:rsidRDefault="00E975BE" w:rsidP="001D6F4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lastRenderedPageBreak/>
        <w:t xml:space="preserve">However, </w:t>
      </w:r>
      <w:r w:rsidR="00632DAC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58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% of </w:t>
      </w:r>
      <w:proofErr w:type="gramStart"/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working age</w:t>
      </w:r>
      <w:proofErr w:type="gramEnd"/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adults </w:t>
      </w:r>
      <w:r w:rsidR="004E476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with </w:t>
      </w:r>
      <w:r w:rsidR="0032029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a dual sensory</w:t>
      </w:r>
      <w:r w:rsidR="004E476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loss </w:t>
      </w:r>
      <w:r w:rsidR="00CF374D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are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not in the labor forc</w:t>
      </w:r>
      <w:r w:rsidR="004E476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e, com</w:t>
      </w:r>
      <w:r w:rsidR="00F940E7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pared to 22% for those without</w:t>
      </w:r>
      <w:r w:rsidR="004E476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combined </w:t>
      </w:r>
      <w:r w:rsidR="00F940E7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hearing and vision </w:t>
      </w:r>
      <w:r w:rsidR="004E476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loss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. </w:t>
      </w:r>
    </w:p>
    <w:p w14:paraId="4427ACC2" w14:textId="77777777" w:rsidR="000C5F3D" w:rsidRDefault="000C5F3D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7A912F2E" w14:textId="77777777" w:rsidR="00CE0D2E" w:rsidRDefault="00CE0D2E" w:rsidP="000C5F3D">
      <w:pPr>
        <w:pStyle w:val="Heading2"/>
      </w:pPr>
      <w:r>
        <w:t>Employment: Industry</w:t>
      </w:r>
    </w:p>
    <w:p w14:paraId="70BF3AB7" w14:textId="77777777" w:rsidR="0020573D" w:rsidRPr="0020573D" w:rsidRDefault="0020573D" w:rsidP="0020573D"/>
    <w:p w14:paraId="54631186" w14:textId="77777777" w:rsidR="00C55E3D" w:rsidRPr="001D6F43" w:rsidRDefault="00C55E3D" w:rsidP="001D6F43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Across 14 groupings of occupations in New York, the rankings for percent in an industry are </w:t>
      </w:r>
      <w:proofErr w:type="gramStart"/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fairly similar</w:t>
      </w:r>
      <w:proofErr w:type="gramEnd"/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for both people with and without combined hearing and vision loss, with some exceptions. The 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  <w:u w:val="single"/>
        </w:rPr>
        <w:t>top 5 occupations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for individuals who reported dual sensory loss are listed in ranked order. </w:t>
      </w:r>
    </w:p>
    <w:p w14:paraId="77A433F1" w14:textId="77777777" w:rsidR="00C55E3D" w:rsidRPr="00AC348F" w:rsidRDefault="00C55E3D" w:rsidP="00C55E3D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7169A4D3" w14:textId="1ADB7BEE" w:rsidR="00C55E3D" w:rsidRPr="00AC348F" w:rsidRDefault="00C55E3D" w:rsidP="00C55E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AC348F">
        <w:rPr>
          <w:rFonts w:ascii="Arial" w:eastAsia="Times New Roman" w:hAnsi="Arial" w:cs="Arial"/>
          <w:iCs/>
          <w:color w:val="000000"/>
          <w:sz w:val="28"/>
          <w:szCs w:val="28"/>
        </w:rPr>
        <w:t>Educational Services, Health Care</w:t>
      </w:r>
      <w:r w:rsidR="002F770E">
        <w:rPr>
          <w:rFonts w:ascii="Arial" w:eastAsia="Times New Roman" w:hAnsi="Arial" w:cs="Arial"/>
          <w:iCs/>
          <w:color w:val="000000"/>
          <w:sz w:val="28"/>
          <w:szCs w:val="28"/>
        </w:rPr>
        <w:t>,</w:t>
      </w:r>
      <w:r w:rsidRPr="00AC348F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and Social Assistance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(</w:t>
      </w:r>
      <w:r w:rsidR="001F1DCB">
        <w:rPr>
          <w:rFonts w:ascii="Arial" w:eastAsia="Times New Roman" w:hAnsi="Arial" w:cs="Arial"/>
          <w:iCs/>
          <w:color w:val="000000"/>
          <w:sz w:val="28"/>
          <w:szCs w:val="28"/>
        </w:rPr>
        <w:t>17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%)</w:t>
      </w:r>
    </w:p>
    <w:p w14:paraId="7CE531A7" w14:textId="1A77D433" w:rsidR="00C55E3D" w:rsidRPr="00AC348F" w:rsidRDefault="00C55E3D" w:rsidP="00C55E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AC348F">
        <w:rPr>
          <w:rFonts w:ascii="Arial" w:eastAsia="Times New Roman" w:hAnsi="Arial" w:cs="Arial"/>
          <w:iCs/>
          <w:color w:val="000000"/>
          <w:sz w:val="28"/>
          <w:szCs w:val="28"/>
        </w:rPr>
        <w:t>Retail Trade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(1</w:t>
      </w:r>
      <w:r w:rsidR="00E94366">
        <w:rPr>
          <w:rFonts w:ascii="Arial" w:eastAsia="Times New Roman" w:hAnsi="Arial" w:cs="Arial"/>
          <w:iCs/>
          <w:color w:val="000000"/>
          <w:sz w:val="28"/>
          <w:szCs w:val="28"/>
        </w:rPr>
        <w:t>3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%)</w:t>
      </w:r>
    </w:p>
    <w:p w14:paraId="7FAECF5F" w14:textId="508E1622" w:rsidR="00C55E3D" w:rsidRPr="00AC348F" w:rsidRDefault="00C55E3D" w:rsidP="00C55E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AC348F">
        <w:rPr>
          <w:rFonts w:ascii="Arial" w:eastAsia="Times New Roman" w:hAnsi="Arial" w:cs="Arial"/>
          <w:iCs/>
          <w:color w:val="000000"/>
          <w:sz w:val="28"/>
          <w:szCs w:val="28"/>
        </w:rPr>
        <w:t>Professional, Scientific, Management, Admin, &amp; Waste Management Services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(1</w:t>
      </w:r>
      <w:r w:rsidR="005B1BC6">
        <w:rPr>
          <w:rFonts w:ascii="Arial" w:eastAsia="Times New Roman" w:hAnsi="Arial" w:cs="Arial"/>
          <w:iCs/>
          <w:color w:val="000000"/>
          <w:sz w:val="28"/>
          <w:szCs w:val="28"/>
        </w:rPr>
        <w:t>2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%)</w:t>
      </w:r>
    </w:p>
    <w:p w14:paraId="3E679878" w14:textId="6E69D9EA" w:rsidR="00C55E3D" w:rsidRDefault="00C55E3D" w:rsidP="00C55E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AC348F">
        <w:rPr>
          <w:rFonts w:ascii="Arial" w:eastAsia="Times New Roman" w:hAnsi="Arial" w:cs="Arial"/>
          <w:iCs/>
          <w:color w:val="000000"/>
          <w:sz w:val="28"/>
          <w:szCs w:val="28"/>
        </w:rPr>
        <w:t>Manufacturing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(</w:t>
      </w:r>
      <w:r w:rsidR="006E2843">
        <w:rPr>
          <w:rFonts w:ascii="Arial" w:eastAsia="Times New Roman" w:hAnsi="Arial" w:cs="Arial"/>
          <w:iCs/>
          <w:color w:val="000000"/>
          <w:sz w:val="28"/>
          <w:szCs w:val="28"/>
        </w:rPr>
        <w:t>11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%)</w:t>
      </w:r>
    </w:p>
    <w:p w14:paraId="625A2767" w14:textId="3A5880D6" w:rsidR="00DD4A3A" w:rsidRDefault="00DD4A3A" w:rsidP="00C55E3D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DD4A3A">
        <w:rPr>
          <w:rFonts w:ascii="Arial" w:eastAsia="Times New Roman" w:hAnsi="Arial" w:cs="Arial"/>
          <w:iCs/>
          <w:color w:val="000000"/>
          <w:sz w:val="28"/>
          <w:szCs w:val="28"/>
        </w:rPr>
        <w:t>Arts, Entertainment, Recreation, and Food Services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(9%)</w:t>
      </w:r>
    </w:p>
    <w:p w14:paraId="45EBC188" w14:textId="5D3B657B" w:rsidR="000C5F3D" w:rsidRDefault="002E3261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</w:rPr>
        <w:t>Lastly,</w:t>
      </w:r>
      <w:r w:rsidR="00CE0D2E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“Military” 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was</w:t>
      </w:r>
      <w:r w:rsidR="00CE0D2E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the least frequently reported occupation for both groups (0.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63</w:t>
      </w:r>
      <w:r w:rsidR="00CE0D2E">
        <w:rPr>
          <w:rFonts w:ascii="Arial" w:eastAsia="Times New Roman" w:hAnsi="Arial" w:cs="Arial"/>
          <w:iCs/>
          <w:color w:val="000000"/>
          <w:sz w:val="28"/>
          <w:szCs w:val="28"/>
        </w:rPr>
        <w:t>%</w:t>
      </w:r>
      <w:r w:rsidR="0054467C">
        <w:rPr>
          <w:rFonts w:ascii="Arial" w:eastAsia="Times New Roman" w:hAnsi="Arial" w:cs="Arial"/>
          <w:iCs/>
          <w:color w:val="000000"/>
          <w:sz w:val="28"/>
          <w:szCs w:val="28"/>
        </w:rPr>
        <w:t>)</w:t>
      </w:r>
      <w:r w:rsidR="00CE0D2E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for people with combined hearing and vision loss and </w:t>
      </w:r>
      <w:r w:rsidR="0054467C">
        <w:rPr>
          <w:rFonts w:ascii="Arial" w:eastAsia="Times New Roman" w:hAnsi="Arial" w:cs="Arial"/>
          <w:iCs/>
          <w:color w:val="000000"/>
          <w:sz w:val="28"/>
          <w:szCs w:val="28"/>
        </w:rPr>
        <w:t>(</w:t>
      </w:r>
      <w:r w:rsidR="00CE0D2E">
        <w:rPr>
          <w:rFonts w:ascii="Arial" w:eastAsia="Times New Roman" w:hAnsi="Arial" w:cs="Arial"/>
          <w:iCs/>
          <w:color w:val="000000"/>
          <w:sz w:val="28"/>
          <w:szCs w:val="28"/>
        </w:rPr>
        <w:t>0.</w:t>
      </w:r>
      <w:r w:rsidR="0054467C">
        <w:rPr>
          <w:rFonts w:ascii="Arial" w:eastAsia="Times New Roman" w:hAnsi="Arial" w:cs="Arial"/>
          <w:iCs/>
          <w:color w:val="000000"/>
          <w:sz w:val="28"/>
          <w:szCs w:val="28"/>
        </w:rPr>
        <w:t>82</w:t>
      </w:r>
      <w:r w:rsidR="00CE0D2E">
        <w:rPr>
          <w:rFonts w:ascii="Arial" w:eastAsia="Times New Roman" w:hAnsi="Arial" w:cs="Arial"/>
          <w:iCs/>
          <w:color w:val="000000"/>
          <w:sz w:val="28"/>
          <w:szCs w:val="28"/>
        </w:rPr>
        <w:t>%</w:t>
      </w:r>
      <w:r w:rsidR="0054467C">
        <w:rPr>
          <w:rFonts w:ascii="Arial" w:eastAsia="Times New Roman" w:hAnsi="Arial" w:cs="Arial"/>
          <w:iCs/>
          <w:color w:val="000000"/>
          <w:sz w:val="28"/>
          <w:szCs w:val="28"/>
        </w:rPr>
        <w:t>)</w:t>
      </w:r>
      <w:r w:rsidR="00CE0D2E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for people without combined hearing and vision loss</w:t>
      </w:r>
      <w:r w:rsidR="0054467C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. </w:t>
      </w:r>
    </w:p>
    <w:p w14:paraId="06386F20" w14:textId="77777777" w:rsidR="00D6093A" w:rsidRDefault="00D6093A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3688CB3D" w14:textId="7455A962" w:rsidR="003A1490" w:rsidRDefault="006C7366" w:rsidP="000C5F3D">
      <w:pPr>
        <w:pStyle w:val="Heading2"/>
      </w:pPr>
      <w:r>
        <w:t>Poverty</w:t>
      </w:r>
    </w:p>
    <w:p w14:paraId="28AB9307" w14:textId="77777777" w:rsidR="00D96CFC" w:rsidRPr="00D96CFC" w:rsidRDefault="00D96CFC" w:rsidP="00D96CFC"/>
    <w:p w14:paraId="461F1F0F" w14:textId="77777777" w:rsidR="00D96CFC" w:rsidRPr="00412D93" w:rsidRDefault="00CF374D" w:rsidP="00412D93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P</w:t>
      </w:r>
      <w:r w:rsidR="00802A78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eople with </w:t>
      </w:r>
      <w:r w:rsidR="00FE1B28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combined hearing and vision loss</w:t>
      </w:r>
      <w:r w:rsidR="006C7366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802A78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in the United States </w:t>
      </w:r>
      <w:r w:rsidR="006C7366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are almost twice as likely to live in poverty (</w:t>
      </w:r>
      <w:r w:rsidR="008E5F91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19.1</w:t>
      </w:r>
      <w:r w:rsidR="006C7366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%) </w:t>
      </w:r>
      <w:r w:rsidR="008E5F91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than</w:t>
      </w:r>
      <w:r w:rsidR="006C7366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people </w:t>
      </w:r>
      <w:r w:rsidR="00802A78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without</w:t>
      </w:r>
      <w:r w:rsidR="00FE1B28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combined hearing and vision </w:t>
      </w:r>
      <w:r w:rsidR="004E4765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loss (</w:t>
      </w:r>
      <w:r w:rsidR="006C7366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1</w:t>
      </w:r>
      <w:r w:rsidR="008E5F91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0.8</w:t>
      </w:r>
      <w:r w:rsidR="006C7366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%). </w:t>
      </w:r>
    </w:p>
    <w:p w14:paraId="5665B703" w14:textId="77777777" w:rsidR="00D96CFC" w:rsidRDefault="00D96CFC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23BB871E" w14:textId="6B95F180" w:rsidR="006C7366" w:rsidRPr="00412D93" w:rsidRDefault="00B14311" w:rsidP="00412D93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Of those </w:t>
      </w:r>
      <w:r w:rsidR="00802A78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reporting </w:t>
      </w:r>
      <w:r w:rsidR="00A16050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a dual sensory</w:t>
      </w:r>
      <w:r w:rsidR="00FE1B28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loss</w:t>
      </w:r>
      <w:r w:rsidR="004E4765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living in poverty, approximately 2</w:t>
      </w:r>
      <w:r w:rsidR="008F1353">
        <w:rPr>
          <w:rFonts w:ascii="Arial" w:eastAsia="Times New Roman" w:hAnsi="Arial" w:cs="Arial"/>
          <w:iCs/>
          <w:color w:val="000000"/>
          <w:sz w:val="28"/>
          <w:szCs w:val="28"/>
        </w:rPr>
        <w:t>3</w:t>
      </w: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% are of transition age (14-24)</w:t>
      </w:r>
      <w:r w:rsidR="00420BB4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, </w:t>
      </w:r>
      <w:r w:rsidR="00182716">
        <w:rPr>
          <w:rFonts w:ascii="Arial" w:eastAsia="Times New Roman" w:hAnsi="Arial" w:cs="Arial"/>
          <w:iCs/>
          <w:color w:val="000000"/>
          <w:sz w:val="28"/>
          <w:szCs w:val="28"/>
        </w:rPr>
        <w:t>22%</w:t>
      </w:r>
      <w:r w:rsidR="008F135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are working age</w:t>
      </w:r>
      <w:r w:rsidR="00C12244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(18-54)</w:t>
      </w:r>
      <w:r w:rsidR="008F1353">
        <w:rPr>
          <w:rFonts w:ascii="Arial" w:eastAsia="Times New Roman" w:hAnsi="Arial" w:cs="Arial"/>
          <w:iCs/>
          <w:color w:val="000000"/>
          <w:sz w:val="28"/>
          <w:szCs w:val="28"/>
        </w:rPr>
        <w:t>,</w:t>
      </w: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and 18% are seniors (55+). </w:t>
      </w:r>
    </w:p>
    <w:p w14:paraId="594B45FF" w14:textId="77777777" w:rsidR="000C5F3D" w:rsidRDefault="000C5F3D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05AE0688" w14:textId="3F474304" w:rsidR="00F76C14" w:rsidRPr="000C5F3D" w:rsidRDefault="00F76C14" w:rsidP="000C5F3D">
      <w:pPr>
        <w:pStyle w:val="Heading2"/>
      </w:pPr>
      <w:r>
        <w:t>Veterans</w:t>
      </w:r>
    </w:p>
    <w:p w14:paraId="5F6FE531" w14:textId="77777777" w:rsidR="00D96CFC" w:rsidRDefault="00D96CFC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06551EF8" w14:textId="58558C36" w:rsidR="00D96CFC" w:rsidRPr="00D96CFC" w:rsidRDefault="008635DC" w:rsidP="00D96CFC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D96CFC">
        <w:rPr>
          <w:rFonts w:ascii="Arial" w:eastAsia="Times New Roman" w:hAnsi="Arial" w:cs="Arial"/>
          <w:iCs/>
          <w:color w:val="000000"/>
          <w:sz w:val="28"/>
          <w:szCs w:val="28"/>
        </w:rPr>
        <w:t>17</w:t>
      </w:r>
      <w:r w:rsidR="00F76C14" w:rsidRPr="00D96CFC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% </w:t>
      </w:r>
      <w:r w:rsidR="00A9528B" w:rsidRPr="00D96CFC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of </w:t>
      </w:r>
      <w:r w:rsidR="00D358AE">
        <w:rPr>
          <w:rFonts w:ascii="Arial" w:eastAsia="Times New Roman" w:hAnsi="Arial" w:cs="Arial"/>
          <w:iCs/>
          <w:color w:val="000000"/>
          <w:sz w:val="28"/>
          <w:szCs w:val="28"/>
        </w:rPr>
        <w:t>people with dual sensory loss are veterans.</w:t>
      </w:r>
    </w:p>
    <w:p w14:paraId="130BC09B" w14:textId="77777777" w:rsidR="00D96CFC" w:rsidRDefault="00D96CFC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35551DFB" w14:textId="0A91B650" w:rsidR="000C5F3D" w:rsidRPr="00D96CFC" w:rsidRDefault="00F76C14" w:rsidP="00D96CFC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D96CFC">
        <w:rPr>
          <w:rFonts w:ascii="Arial" w:eastAsia="Times New Roman" w:hAnsi="Arial" w:cs="Arial"/>
          <w:iCs/>
          <w:color w:val="000000"/>
          <w:sz w:val="28"/>
          <w:szCs w:val="28"/>
        </w:rPr>
        <w:t>6.</w:t>
      </w:r>
      <w:r w:rsidR="008635DC" w:rsidRPr="00D96CFC">
        <w:rPr>
          <w:rFonts w:ascii="Arial" w:eastAsia="Times New Roman" w:hAnsi="Arial" w:cs="Arial"/>
          <w:iCs/>
          <w:color w:val="000000"/>
          <w:sz w:val="28"/>
          <w:szCs w:val="28"/>
        </w:rPr>
        <w:t>9</w:t>
      </w:r>
      <w:r w:rsidRPr="00D96CFC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% </w:t>
      </w:r>
      <w:r w:rsidR="008635DC" w:rsidRPr="00D96CFC">
        <w:rPr>
          <w:rFonts w:ascii="Arial" w:eastAsia="Times New Roman" w:hAnsi="Arial" w:cs="Arial"/>
          <w:iCs/>
          <w:color w:val="000000"/>
          <w:sz w:val="28"/>
          <w:szCs w:val="28"/>
        </w:rPr>
        <w:t>were</w:t>
      </w:r>
      <w:r w:rsidRPr="00D96CFC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4E6551" w:rsidRPr="00D96CFC">
        <w:rPr>
          <w:rFonts w:ascii="Arial" w:eastAsia="Times New Roman" w:hAnsi="Arial" w:cs="Arial"/>
          <w:iCs/>
          <w:color w:val="000000"/>
          <w:sz w:val="28"/>
          <w:szCs w:val="28"/>
        </w:rPr>
        <w:t>v</w:t>
      </w:r>
      <w:r w:rsidRPr="00D96CFC">
        <w:rPr>
          <w:rFonts w:ascii="Arial" w:eastAsia="Times New Roman" w:hAnsi="Arial" w:cs="Arial"/>
          <w:iCs/>
          <w:color w:val="000000"/>
          <w:sz w:val="28"/>
          <w:szCs w:val="28"/>
        </w:rPr>
        <w:t>eterans with a service-related disability.</w:t>
      </w:r>
    </w:p>
    <w:p w14:paraId="22B3CBCA" w14:textId="77777777" w:rsidR="00E43627" w:rsidRDefault="00E43627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6F0B9A6B" w14:textId="77777777" w:rsidR="00E43627" w:rsidRDefault="00E43627" w:rsidP="00E43627">
      <w:pPr>
        <w:pStyle w:val="Heading2"/>
      </w:pPr>
      <w:r>
        <w:t>Cognitive Difficulty</w:t>
      </w:r>
    </w:p>
    <w:p w14:paraId="289EE8AC" w14:textId="77777777" w:rsidR="00412D93" w:rsidRPr="00412D93" w:rsidRDefault="00412D93" w:rsidP="00412D93"/>
    <w:p w14:paraId="0104B44E" w14:textId="77777777" w:rsidR="00412D93" w:rsidRPr="00412D93" w:rsidRDefault="00E43627" w:rsidP="00412D93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This refers to self-reporting issues with concentrating, remembering, or making decisions. </w:t>
      </w:r>
    </w:p>
    <w:p w14:paraId="21891CAC" w14:textId="77777777" w:rsidR="00412D93" w:rsidRDefault="00412D93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21F45EC7" w14:textId="77777777" w:rsidR="00412D93" w:rsidRPr="00412D93" w:rsidRDefault="0054587F" w:rsidP="00412D93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Essentially </w:t>
      </w:r>
      <w:r w:rsidR="00E43627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half (5</w:t>
      </w: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0</w:t>
      </w:r>
      <w:r w:rsidR="00E43627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.</w:t>
      </w: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4</w:t>
      </w:r>
      <w:r w:rsidR="00E43627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%) of individuals who have combined hearing and vision loss also reported having a cognitive difficulty. </w:t>
      </w:r>
    </w:p>
    <w:p w14:paraId="7E777C78" w14:textId="77777777" w:rsidR="00412D93" w:rsidRDefault="00412D93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4BDCC202" w14:textId="36E4B16D" w:rsidR="00E43627" w:rsidRPr="00412D93" w:rsidRDefault="00E43627" w:rsidP="00412D93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This is significantly higher than the rate reported by those people who do not have combined hearing and vision loss (</w:t>
      </w:r>
      <w:r w:rsidR="0054587F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5</w:t>
      </w: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.</w:t>
      </w:r>
      <w:r w:rsidR="0054587F"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3</w:t>
      </w:r>
      <w:r w:rsidRPr="00412D93">
        <w:rPr>
          <w:rFonts w:ascii="Arial" w:eastAsia="Times New Roman" w:hAnsi="Arial" w:cs="Arial"/>
          <w:iCs/>
          <w:color w:val="000000"/>
          <w:sz w:val="28"/>
          <w:szCs w:val="28"/>
        </w:rPr>
        <w:t>%).</w:t>
      </w:r>
    </w:p>
    <w:p w14:paraId="4A9D39DE" w14:textId="2BE2C2BA" w:rsidR="00F76C14" w:rsidRDefault="00F76C14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</w:p>
    <w:p w14:paraId="225A3A5F" w14:textId="69FA87C8" w:rsidR="008030FB" w:rsidRDefault="008030FB" w:rsidP="000C5F3D">
      <w:pPr>
        <w:pStyle w:val="Heading2"/>
      </w:pPr>
      <w:r>
        <w:t>Education Level</w:t>
      </w:r>
    </w:p>
    <w:p w14:paraId="430CD104" w14:textId="77777777" w:rsidR="00412D93" w:rsidRPr="00412D93" w:rsidRDefault="00412D93" w:rsidP="00412D93"/>
    <w:p w14:paraId="7AAE94CA" w14:textId="77777777" w:rsidR="00412D93" w:rsidRPr="001D6F43" w:rsidRDefault="007F5343" w:rsidP="001D6F43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P</w:t>
      </w:r>
      <w:r w:rsidR="0013471B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eople with 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combined hearing and vision loss</w:t>
      </w:r>
      <w:r w:rsidR="008030FB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4635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report much lower levels of education </w:t>
      </w:r>
      <w:r w:rsidR="00D9440F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than</w:t>
      </w:r>
      <w:r w:rsidR="0013471B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people without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combined hearing and vision loss</w:t>
      </w:r>
      <w:r w:rsidR="0013471B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. D</w:t>
      </w:r>
      <w:r w:rsidR="009F754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ata </w:t>
      </w:r>
      <w:r w:rsidR="0013471B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on level of education in the United States </w:t>
      </w:r>
      <w:r w:rsidR="009F754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suggests significant barriers to both high school and college retention a</w:t>
      </w:r>
      <w:r w:rsidR="0013471B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nd participation by people with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combined hearing and vision loss</w:t>
      </w:r>
      <w:r w:rsidR="0013471B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. </w:t>
      </w:r>
    </w:p>
    <w:p w14:paraId="0A18FE1A" w14:textId="77777777" w:rsidR="00412D93" w:rsidRDefault="00412D93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40A266CC" w14:textId="77777777" w:rsidR="001D6F43" w:rsidRPr="001D6F43" w:rsidRDefault="0013471B" w:rsidP="001D6F43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People with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A16050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a dual sensory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loss</w:t>
      </w:r>
      <w:r w:rsidR="004635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45216F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aged 25 and older </w:t>
      </w:r>
      <w:r w:rsidR="004635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are half as likely to have a </w:t>
      </w:r>
      <w:r w:rsidR="004E6551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b</w:t>
      </w:r>
      <w:r w:rsidR="004635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achelor’s degree </w:t>
      </w:r>
      <w:r w:rsidR="007A7B19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(1</w:t>
      </w:r>
      <w:r w:rsidR="002E12B6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6</w:t>
      </w:r>
      <w:r w:rsidR="007A7B19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% vs. 3</w:t>
      </w:r>
      <w:r w:rsidR="002E12B6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6</w:t>
      </w:r>
      <w:r w:rsidR="007A7B19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%) and over twice as likely to have less than a high school diploma (2</w:t>
      </w:r>
      <w:r w:rsidR="001A5BE7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4.7</w:t>
      </w:r>
      <w:r w:rsidR="007A7B19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% vs. 1</w:t>
      </w:r>
      <w:r w:rsidR="001A5BE7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0</w:t>
      </w:r>
      <w:r w:rsidR="007A7B19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.2%) than are people without combined hearing and vision loss. </w:t>
      </w:r>
    </w:p>
    <w:p w14:paraId="2A307662" w14:textId="77777777" w:rsidR="001D6F43" w:rsidRDefault="001D6F43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78BF4CD4" w14:textId="77777777" w:rsidR="001D6F43" w:rsidRPr="001D6F43" w:rsidRDefault="00387EDA" w:rsidP="001D6F43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Fewer </w:t>
      </w:r>
      <w:r w:rsidR="007A7B19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p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eople who have combined hearing and vision </w:t>
      </w:r>
      <w:r w:rsidR="004E476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loss also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report having had some college (2</w:t>
      </w:r>
      <w:r w:rsidR="00F42327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5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%) compared to people</w:t>
      </w:r>
      <w:r w:rsidR="0045216F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7A7B19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w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ho do not have combined hearing and vision </w:t>
      </w:r>
      <w:r w:rsidR="004E476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loss (</w:t>
      </w:r>
      <w:r w:rsidR="0045216F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2</w:t>
      </w:r>
      <w:r w:rsidR="00F42327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8</w:t>
      </w:r>
      <w:r w:rsidR="0045216F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%). </w:t>
      </w:r>
    </w:p>
    <w:p w14:paraId="59F454F9" w14:textId="77777777" w:rsidR="001D6F43" w:rsidRDefault="001D6F43" w:rsidP="00417C45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6B629C5E" w14:textId="5DF34D96" w:rsidR="006B0EC6" w:rsidRDefault="0045216F" w:rsidP="001D6F43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Discrepancies in attainment of higher education persist for adults aged 3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0 and older, with only 23% of 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adults 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with </w:t>
      </w:r>
      <w:r w:rsidR="00A16050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a dual sensory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loss 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aged 30 and older reporting attainment of an </w:t>
      </w:r>
      <w:r w:rsidR="004E6551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a</w:t>
      </w:r>
      <w:r w:rsidR="004E4765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ssociate’s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degree or higher versus 4</w:t>
      </w:r>
      <w:r w:rsidR="0058198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4</w:t>
      </w:r>
      <w:r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% of adults aged 30 and older </w:t>
      </w:r>
      <w:r w:rsidR="007A7B19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without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</w:t>
      </w:r>
      <w:r w:rsidR="000A576C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a dual sensory</w:t>
      </w:r>
      <w:r w:rsidR="00FE1B28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loss</w:t>
      </w:r>
      <w:r w:rsidR="006300BB" w:rsidRPr="001D6F43">
        <w:rPr>
          <w:rFonts w:ascii="Arial" w:eastAsia="Times New Roman" w:hAnsi="Arial" w:cs="Arial"/>
          <w:iCs/>
          <w:color w:val="000000"/>
          <w:sz w:val="28"/>
          <w:szCs w:val="28"/>
        </w:rPr>
        <w:t>.</w:t>
      </w:r>
    </w:p>
    <w:p w14:paraId="54F7D504" w14:textId="77777777" w:rsidR="00180B18" w:rsidRPr="00180B18" w:rsidRDefault="00180B18" w:rsidP="00180B18">
      <w:pPr>
        <w:pStyle w:val="ListParagraph"/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753C2C36" w14:textId="77777777" w:rsidR="006B0EC6" w:rsidRDefault="006B0EC6" w:rsidP="00AB4E0D">
      <w:pPr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14:paraId="234986C6" w14:textId="1B74BB7D" w:rsidR="00444759" w:rsidRPr="00733D3B" w:rsidRDefault="00444759" w:rsidP="00733D3B">
      <w:pPr>
        <w:jc w:val="center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733D3B">
        <w:rPr>
          <w:rFonts w:ascii="Arial" w:eastAsia="Times New Roman" w:hAnsi="Arial" w:cs="Arial"/>
          <w:i/>
          <w:color w:val="000000"/>
          <w:sz w:val="28"/>
          <w:szCs w:val="28"/>
        </w:rPr>
        <w:t>Contact Dr. Megan Conway for information about the data presented in these summaries or for additional data requests.</w:t>
      </w:r>
    </w:p>
    <w:p w14:paraId="4EEEA134" w14:textId="27930FCC" w:rsidR="0073507B" w:rsidRPr="00733D3B" w:rsidRDefault="00164BA1" w:rsidP="00733D3B">
      <w:pPr>
        <w:jc w:val="center"/>
        <w:rPr>
          <w:rFonts w:ascii="Arial" w:eastAsia="Times New Roman" w:hAnsi="Arial" w:cs="Arial"/>
          <w:iCs/>
          <w:color w:val="000000"/>
          <w:sz w:val="28"/>
          <w:szCs w:val="28"/>
        </w:rPr>
      </w:pPr>
      <w:hyperlink r:id="rId10" w:history="1">
        <w:r w:rsidRPr="00903D50">
          <w:rPr>
            <w:rStyle w:val="Hyperlink"/>
            <w:rFonts w:ascii="Arial" w:eastAsia="Times New Roman" w:hAnsi="Arial" w:cs="Arial"/>
            <w:iCs/>
            <w:sz w:val="28"/>
            <w:szCs w:val="28"/>
          </w:rPr>
          <w:t>mconway@helenkeller.org</w:t>
        </w:r>
      </w:hyperlink>
    </w:p>
    <w:sectPr w:rsidR="0073507B" w:rsidRPr="00733D3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C692" w14:textId="77777777" w:rsidR="00555EA3" w:rsidRDefault="00555EA3" w:rsidP="002F798B">
      <w:r>
        <w:separator/>
      </w:r>
    </w:p>
  </w:endnote>
  <w:endnote w:type="continuationSeparator" w:id="0">
    <w:p w14:paraId="726B5338" w14:textId="77777777" w:rsidR="00555EA3" w:rsidRDefault="00555EA3" w:rsidP="002F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2A3D" w14:textId="2359F00D" w:rsidR="002F798B" w:rsidRPr="00CA661A" w:rsidRDefault="00CA661A" w:rsidP="00CA661A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Last Updated </w:t>
    </w:r>
    <w:r w:rsidRPr="00CA661A">
      <w:rPr>
        <w:rFonts w:ascii="Arial" w:hAnsi="Arial" w:cs="Arial"/>
        <w:sz w:val="24"/>
        <w:szCs w:val="24"/>
      </w:rPr>
      <w:t xml:space="preserve"> 5.21.2025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1C4C" w14:textId="77777777" w:rsidR="00555EA3" w:rsidRDefault="00555EA3" w:rsidP="002F798B">
      <w:r>
        <w:separator/>
      </w:r>
    </w:p>
  </w:footnote>
  <w:footnote w:type="continuationSeparator" w:id="0">
    <w:p w14:paraId="48C24741" w14:textId="77777777" w:rsidR="00555EA3" w:rsidRDefault="00555EA3" w:rsidP="002F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394"/>
    <w:multiLevelType w:val="hybridMultilevel"/>
    <w:tmpl w:val="4FE8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25D7"/>
    <w:multiLevelType w:val="hybridMultilevel"/>
    <w:tmpl w:val="E6D07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6E7"/>
    <w:multiLevelType w:val="hybridMultilevel"/>
    <w:tmpl w:val="E4A6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683B"/>
    <w:multiLevelType w:val="hybridMultilevel"/>
    <w:tmpl w:val="D7BC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06A9"/>
    <w:multiLevelType w:val="hybridMultilevel"/>
    <w:tmpl w:val="059C8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67033"/>
    <w:multiLevelType w:val="hybridMultilevel"/>
    <w:tmpl w:val="2F5E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B4E47"/>
    <w:multiLevelType w:val="hybridMultilevel"/>
    <w:tmpl w:val="5A1A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80A14"/>
    <w:multiLevelType w:val="hybridMultilevel"/>
    <w:tmpl w:val="8C50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70E26"/>
    <w:multiLevelType w:val="hybridMultilevel"/>
    <w:tmpl w:val="059C8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E6E3A"/>
    <w:multiLevelType w:val="hybridMultilevel"/>
    <w:tmpl w:val="0D469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A1B30"/>
    <w:multiLevelType w:val="hybridMultilevel"/>
    <w:tmpl w:val="8424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B0344"/>
    <w:multiLevelType w:val="hybridMultilevel"/>
    <w:tmpl w:val="04A6C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E205D"/>
    <w:multiLevelType w:val="hybridMultilevel"/>
    <w:tmpl w:val="B3C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330E0"/>
    <w:multiLevelType w:val="hybridMultilevel"/>
    <w:tmpl w:val="60C0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527006">
    <w:abstractNumId w:val="10"/>
  </w:num>
  <w:num w:numId="2" w16cid:durableId="1340541427">
    <w:abstractNumId w:val="1"/>
  </w:num>
  <w:num w:numId="3" w16cid:durableId="594440298">
    <w:abstractNumId w:val="8"/>
  </w:num>
  <w:num w:numId="4" w16cid:durableId="1537425184">
    <w:abstractNumId w:val="9"/>
  </w:num>
  <w:num w:numId="5" w16cid:durableId="553664056">
    <w:abstractNumId w:val="4"/>
  </w:num>
  <w:num w:numId="6" w16cid:durableId="1170025921">
    <w:abstractNumId w:val="11"/>
  </w:num>
  <w:num w:numId="7" w16cid:durableId="435487412">
    <w:abstractNumId w:val="7"/>
  </w:num>
  <w:num w:numId="8" w16cid:durableId="1270624160">
    <w:abstractNumId w:val="5"/>
  </w:num>
  <w:num w:numId="9" w16cid:durableId="49114623">
    <w:abstractNumId w:val="0"/>
  </w:num>
  <w:num w:numId="10" w16cid:durableId="2126340332">
    <w:abstractNumId w:val="13"/>
  </w:num>
  <w:num w:numId="11" w16cid:durableId="504589959">
    <w:abstractNumId w:val="12"/>
  </w:num>
  <w:num w:numId="12" w16cid:durableId="650644775">
    <w:abstractNumId w:val="6"/>
  </w:num>
  <w:num w:numId="13" w16cid:durableId="239367299">
    <w:abstractNumId w:val="3"/>
  </w:num>
  <w:num w:numId="14" w16cid:durableId="1354183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5A"/>
    <w:rsid w:val="00015912"/>
    <w:rsid w:val="0001599D"/>
    <w:rsid w:val="00024FC6"/>
    <w:rsid w:val="00027260"/>
    <w:rsid w:val="00030C75"/>
    <w:rsid w:val="00034618"/>
    <w:rsid w:val="00035467"/>
    <w:rsid w:val="00072901"/>
    <w:rsid w:val="00076ADA"/>
    <w:rsid w:val="00081CD6"/>
    <w:rsid w:val="00091CE3"/>
    <w:rsid w:val="000A0302"/>
    <w:rsid w:val="000A576C"/>
    <w:rsid w:val="000A5FC1"/>
    <w:rsid w:val="000C0B1F"/>
    <w:rsid w:val="000C5F3D"/>
    <w:rsid w:val="000C709F"/>
    <w:rsid w:val="000C78B8"/>
    <w:rsid w:val="000D081D"/>
    <w:rsid w:val="000E3088"/>
    <w:rsid w:val="000F4EA7"/>
    <w:rsid w:val="00106F22"/>
    <w:rsid w:val="00111A89"/>
    <w:rsid w:val="0013471B"/>
    <w:rsid w:val="00152D07"/>
    <w:rsid w:val="00164BA1"/>
    <w:rsid w:val="00164C43"/>
    <w:rsid w:val="0017275D"/>
    <w:rsid w:val="00172BD5"/>
    <w:rsid w:val="00172EA4"/>
    <w:rsid w:val="00180B18"/>
    <w:rsid w:val="00182716"/>
    <w:rsid w:val="00185119"/>
    <w:rsid w:val="00191E91"/>
    <w:rsid w:val="001A4ABD"/>
    <w:rsid w:val="001A5BE7"/>
    <w:rsid w:val="001A660E"/>
    <w:rsid w:val="001A743D"/>
    <w:rsid w:val="001B5FBA"/>
    <w:rsid w:val="001D0AD3"/>
    <w:rsid w:val="001D35EF"/>
    <w:rsid w:val="001D6F43"/>
    <w:rsid w:val="001E6F9C"/>
    <w:rsid w:val="001F1DCB"/>
    <w:rsid w:val="001F4447"/>
    <w:rsid w:val="0020573D"/>
    <w:rsid w:val="00211FE8"/>
    <w:rsid w:val="0022250C"/>
    <w:rsid w:val="00223782"/>
    <w:rsid w:val="002250E2"/>
    <w:rsid w:val="00240AFD"/>
    <w:rsid w:val="002477FF"/>
    <w:rsid w:val="00250961"/>
    <w:rsid w:val="00266CF1"/>
    <w:rsid w:val="00276894"/>
    <w:rsid w:val="002A1BC8"/>
    <w:rsid w:val="002A5430"/>
    <w:rsid w:val="002B1730"/>
    <w:rsid w:val="002B43CC"/>
    <w:rsid w:val="002B6D60"/>
    <w:rsid w:val="002C51DA"/>
    <w:rsid w:val="002E12B6"/>
    <w:rsid w:val="002E3261"/>
    <w:rsid w:val="002E5BD7"/>
    <w:rsid w:val="002F275A"/>
    <w:rsid w:val="002F770E"/>
    <w:rsid w:val="002F798B"/>
    <w:rsid w:val="00304DD4"/>
    <w:rsid w:val="0031549F"/>
    <w:rsid w:val="003171D5"/>
    <w:rsid w:val="0031757D"/>
    <w:rsid w:val="00320295"/>
    <w:rsid w:val="003245C8"/>
    <w:rsid w:val="00326771"/>
    <w:rsid w:val="003304A8"/>
    <w:rsid w:val="00336D2F"/>
    <w:rsid w:val="003513FE"/>
    <w:rsid w:val="00352610"/>
    <w:rsid w:val="00360FD3"/>
    <w:rsid w:val="003622B9"/>
    <w:rsid w:val="00367D19"/>
    <w:rsid w:val="003728A5"/>
    <w:rsid w:val="00377480"/>
    <w:rsid w:val="00384934"/>
    <w:rsid w:val="00387EDA"/>
    <w:rsid w:val="00390197"/>
    <w:rsid w:val="00392BBE"/>
    <w:rsid w:val="003A1490"/>
    <w:rsid w:val="003A382B"/>
    <w:rsid w:val="003B0EBA"/>
    <w:rsid w:val="003B1584"/>
    <w:rsid w:val="003C19CE"/>
    <w:rsid w:val="003F2199"/>
    <w:rsid w:val="003F6EBA"/>
    <w:rsid w:val="003F6F82"/>
    <w:rsid w:val="00401304"/>
    <w:rsid w:val="00412D93"/>
    <w:rsid w:val="00417C45"/>
    <w:rsid w:val="004204FD"/>
    <w:rsid w:val="00420BB4"/>
    <w:rsid w:val="004213CB"/>
    <w:rsid w:val="00424FA4"/>
    <w:rsid w:val="00431DF4"/>
    <w:rsid w:val="004361EE"/>
    <w:rsid w:val="00444759"/>
    <w:rsid w:val="00445E4F"/>
    <w:rsid w:val="0045216F"/>
    <w:rsid w:val="00452F13"/>
    <w:rsid w:val="004540E7"/>
    <w:rsid w:val="00456A18"/>
    <w:rsid w:val="00456A8E"/>
    <w:rsid w:val="00456F87"/>
    <w:rsid w:val="00462010"/>
    <w:rsid w:val="00462AB8"/>
    <w:rsid w:val="00463528"/>
    <w:rsid w:val="00465031"/>
    <w:rsid w:val="00465891"/>
    <w:rsid w:val="0047171A"/>
    <w:rsid w:val="0047489B"/>
    <w:rsid w:val="00475C4F"/>
    <w:rsid w:val="0047681D"/>
    <w:rsid w:val="004A01CD"/>
    <w:rsid w:val="004A3CEB"/>
    <w:rsid w:val="004A7E6E"/>
    <w:rsid w:val="004B51CF"/>
    <w:rsid w:val="004C00B9"/>
    <w:rsid w:val="004E4765"/>
    <w:rsid w:val="004E6551"/>
    <w:rsid w:val="0050491F"/>
    <w:rsid w:val="00504F6A"/>
    <w:rsid w:val="00520CFE"/>
    <w:rsid w:val="005368B9"/>
    <w:rsid w:val="005425CA"/>
    <w:rsid w:val="00543002"/>
    <w:rsid w:val="00543C9D"/>
    <w:rsid w:val="0054467C"/>
    <w:rsid w:val="0054587F"/>
    <w:rsid w:val="00555EA3"/>
    <w:rsid w:val="00577A84"/>
    <w:rsid w:val="00581988"/>
    <w:rsid w:val="005819F5"/>
    <w:rsid w:val="00587D04"/>
    <w:rsid w:val="005A406A"/>
    <w:rsid w:val="005B1BC6"/>
    <w:rsid w:val="005D1DA5"/>
    <w:rsid w:val="005D76C3"/>
    <w:rsid w:val="005E0A3C"/>
    <w:rsid w:val="005E26D0"/>
    <w:rsid w:val="005E70B5"/>
    <w:rsid w:val="005F013F"/>
    <w:rsid w:val="005F23A0"/>
    <w:rsid w:val="005F669E"/>
    <w:rsid w:val="00603DE4"/>
    <w:rsid w:val="00613B5C"/>
    <w:rsid w:val="006154BE"/>
    <w:rsid w:val="00623FC4"/>
    <w:rsid w:val="006300BB"/>
    <w:rsid w:val="00630EAD"/>
    <w:rsid w:val="00632DAC"/>
    <w:rsid w:val="006356A7"/>
    <w:rsid w:val="00654BE4"/>
    <w:rsid w:val="00661D0A"/>
    <w:rsid w:val="006838F1"/>
    <w:rsid w:val="00684015"/>
    <w:rsid w:val="006A14B3"/>
    <w:rsid w:val="006B0EC6"/>
    <w:rsid w:val="006B12C5"/>
    <w:rsid w:val="006B6053"/>
    <w:rsid w:val="006C7366"/>
    <w:rsid w:val="006D05B7"/>
    <w:rsid w:val="006E064D"/>
    <w:rsid w:val="006E2843"/>
    <w:rsid w:val="006F6451"/>
    <w:rsid w:val="006F7E6A"/>
    <w:rsid w:val="00702940"/>
    <w:rsid w:val="00702A56"/>
    <w:rsid w:val="00703350"/>
    <w:rsid w:val="00711FCB"/>
    <w:rsid w:val="007179E2"/>
    <w:rsid w:val="00730199"/>
    <w:rsid w:val="00731DC1"/>
    <w:rsid w:val="00733D3B"/>
    <w:rsid w:val="0073507B"/>
    <w:rsid w:val="00745BB4"/>
    <w:rsid w:val="00753CF2"/>
    <w:rsid w:val="0077414A"/>
    <w:rsid w:val="00777164"/>
    <w:rsid w:val="00782135"/>
    <w:rsid w:val="00784F26"/>
    <w:rsid w:val="007A7B19"/>
    <w:rsid w:val="007B1401"/>
    <w:rsid w:val="007B4AFC"/>
    <w:rsid w:val="007C2DA4"/>
    <w:rsid w:val="007C484C"/>
    <w:rsid w:val="007C55B7"/>
    <w:rsid w:val="007D7AFD"/>
    <w:rsid w:val="007E5A71"/>
    <w:rsid w:val="007F5343"/>
    <w:rsid w:val="00802A78"/>
    <w:rsid w:val="008030FB"/>
    <w:rsid w:val="0080732A"/>
    <w:rsid w:val="0082488D"/>
    <w:rsid w:val="0085260C"/>
    <w:rsid w:val="00856EB7"/>
    <w:rsid w:val="008635DC"/>
    <w:rsid w:val="00871CD1"/>
    <w:rsid w:val="008728CA"/>
    <w:rsid w:val="008856FB"/>
    <w:rsid w:val="008B0448"/>
    <w:rsid w:val="008C1BAB"/>
    <w:rsid w:val="008D2177"/>
    <w:rsid w:val="008D6F7D"/>
    <w:rsid w:val="008D7456"/>
    <w:rsid w:val="008E5F91"/>
    <w:rsid w:val="008E73CF"/>
    <w:rsid w:val="008F1353"/>
    <w:rsid w:val="008F40D4"/>
    <w:rsid w:val="009038D2"/>
    <w:rsid w:val="009150BA"/>
    <w:rsid w:val="00955083"/>
    <w:rsid w:val="00971925"/>
    <w:rsid w:val="0098445B"/>
    <w:rsid w:val="00986C2E"/>
    <w:rsid w:val="009A0DBF"/>
    <w:rsid w:val="009A1532"/>
    <w:rsid w:val="009C7476"/>
    <w:rsid w:val="009E59B9"/>
    <w:rsid w:val="009E7119"/>
    <w:rsid w:val="009F1772"/>
    <w:rsid w:val="009F2611"/>
    <w:rsid w:val="009F4198"/>
    <w:rsid w:val="009F7545"/>
    <w:rsid w:val="009F7B39"/>
    <w:rsid w:val="00A00EE6"/>
    <w:rsid w:val="00A12860"/>
    <w:rsid w:val="00A131C1"/>
    <w:rsid w:val="00A16050"/>
    <w:rsid w:val="00A16450"/>
    <w:rsid w:val="00A37C67"/>
    <w:rsid w:val="00A4512D"/>
    <w:rsid w:val="00A464FD"/>
    <w:rsid w:val="00A70F8A"/>
    <w:rsid w:val="00A772E8"/>
    <w:rsid w:val="00A8225A"/>
    <w:rsid w:val="00A92570"/>
    <w:rsid w:val="00A9528B"/>
    <w:rsid w:val="00AA3B15"/>
    <w:rsid w:val="00AA7A0C"/>
    <w:rsid w:val="00AB4E0D"/>
    <w:rsid w:val="00AB549E"/>
    <w:rsid w:val="00AC0863"/>
    <w:rsid w:val="00AE0782"/>
    <w:rsid w:val="00AE129C"/>
    <w:rsid w:val="00AE1F36"/>
    <w:rsid w:val="00B14311"/>
    <w:rsid w:val="00B15102"/>
    <w:rsid w:val="00B15AD3"/>
    <w:rsid w:val="00B2281D"/>
    <w:rsid w:val="00B3271C"/>
    <w:rsid w:val="00B41E54"/>
    <w:rsid w:val="00B56EF9"/>
    <w:rsid w:val="00B7376A"/>
    <w:rsid w:val="00B80B7D"/>
    <w:rsid w:val="00B815F0"/>
    <w:rsid w:val="00B828C0"/>
    <w:rsid w:val="00B90E27"/>
    <w:rsid w:val="00B92C2C"/>
    <w:rsid w:val="00B945E9"/>
    <w:rsid w:val="00B948A8"/>
    <w:rsid w:val="00BB50F4"/>
    <w:rsid w:val="00BD239A"/>
    <w:rsid w:val="00BE0C0D"/>
    <w:rsid w:val="00BE3FD3"/>
    <w:rsid w:val="00BE58E6"/>
    <w:rsid w:val="00BF6369"/>
    <w:rsid w:val="00BF79F1"/>
    <w:rsid w:val="00C03B30"/>
    <w:rsid w:val="00C10009"/>
    <w:rsid w:val="00C10094"/>
    <w:rsid w:val="00C120CE"/>
    <w:rsid w:val="00C12244"/>
    <w:rsid w:val="00C1275C"/>
    <w:rsid w:val="00C151BE"/>
    <w:rsid w:val="00C36269"/>
    <w:rsid w:val="00C42980"/>
    <w:rsid w:val="00C47A05"/>
    <w:rsid w:val="00C532AD"/>
    <w:rsid w:val="00C5516E"/>
    <w:rsid w:val="00C55E3D"/>
    <w:rsid w:val="00C61794"/>
    <w:rsid w:val="00C61F9D"/>
    <w:rsid w:val="00C63184"/>
    <w:rsid w:val="00C6441F"/>
    <w:rsid w:val="00C73891"/>
    <w:rsid w:val="00C87172"/>
    <w:rsid w:val="00CA3D29"/>
    <w:rsid w:val="00CA5749"/>
    <w:rsid w:val="00CA5E70"/>
    <w:rsid w:val="00CA661A"/>
    <w:rsid w:val="00CA7BE7"/>
    <w:rsid w:val="00CB214E"/>
    <w:rsid w:val="00CE07E7"/>
    <w:rsid w:val="00CE0D2E"/>
    <w:rsid w:val="00CE1AAF"/>
    <w:rsid w:val="00CE592B"/>
    <w:rsid w:val="00CE62FE"/>
    <w:rsid w:val="00CF374D"/>
    <w:rsid w:val="00CF3CF6"/>
    <w:rsid w:val="00CF5146"/>
    <w:rsid w:val="00D358AE"/>
    <w:rsid w:val="00D35BB6"/>
    <w:rsid w:val="00D471DB"/>
    <w:rsid w:val="00D6093A"/>
    <w:rsid w:val="00D73CD8"/>
    <w:rsid w:val="00D9440F"/>
    <w:rsid w:val="00D96CFC"/>
    <w:rsid w:val="00DA64C0"/>
    <w:rsid w:val="00DB6B4C"/>
    <w:rsid w:val="00DB6D24"/>
    <w:rsid w:val="00DB70E7"/>
    <w:rsid w:val="00DD1A03"/>
    <w:rsid w:val="00DD4A3A"/>
    <w:rsid w:val="00DF406A"/>
    <w:rsid w:val="00DF5E58"/>
    <w:rsid w:val="00DF7BEC"/>
    <w:rsid w:val="00E0540D"/>
    <w:rsid w:val="00E118B4"/>
    <w:rsid w:val="00E15A04"/>
    <w:rsid w:val="00E222BF"/>
    <w:rsid w:val="00E227FD"/>
    <w:rsid w:val="00E2756C"/>
    <w:rsid w:val="00E3399C"/>
    <w:rsid w:val="00E376B2"/>
    <w:rsid w:val="00E400D3"/>
    <w:rsid w:val="00E42906"/>
    <w:rsid w:val="00E43627"/>
    <w:rsid w:val="00E52232"/>
    <w:rsid w:val="00E534D6"/>
    <w:rsid w:val="00E53F24"/>
    <w:rsid w:val="00E73E83"/>
    <w:rsid w:val="00E94366"/>
    <w:rsid w:val="00E975BE"/>
    <w:rsid w:val="00EB7186"/>
    <w:rsid w:val="00EC0900"/>
    <w:rsid w:val="00EE534D"/>
    <w:rsid w:val="00EF2204"/>
    <w:rsid w:val="00EF40E4"/>
    <w:rsid w:val="00F060B8"/>
    <w:rsid w:val="00F24E19"/>
    <w:rsid w:val="00F42327"/>
    <w:rsid w:val="00F47190"/>
    <w:rsid w:val="00F522C1"/>
    <w:rsid w:val="00F53CD0"/>
    <w:rsid w:val="00F76C14"/>
    <w:rsid w:val="00F81749"/>
    <w:rsid w:val="00F818B3"/>
    <w:rsid w:val="00F940E7"/>
    <w:rsid w:val="00FB54DC"/>
    <w:rsid w:val="00FD22F8"/>
    <w:rsid w:val="00FD35D3"/>
    <w:rsid w:val="00FD423A"/>
    <w:rsid w:val="00FD738A"/>
    <w:rsid w:val="00FE1173"/>
    <w:rsid w:val="00FE1B28"/>
    <w:rsid w:val="00FF0E55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C77B9"/>
  <w15:chartTrackingRefBased/>
  <w15:docId w15:val="{B0ECD83A-E747-4CD2-96F8-0C5E6B72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25A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1EE"/>
    <w:pPr>
      <w:keepNext/>
      <w:keepLines/>
      <w:spacing w:before="240" w:line="360" w:lineRule="auto"/>
      <w:jc w:val="center"/>
      <w:outlineLvl w:val="0"/>
    </w:pPr>
    <w:rPr>
      <w:rFonts w:ascii="Arial" w:eastAsia="Times New Roman" w:hAnsi="Arial" w:cs="Arial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4A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9A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F43"/>
    <w:pPr>
      <w:keepNext/>
      <w:keepLines/>
      <w:spacing w:before="40"/>
      <w:outlineLvl w:val="2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7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C4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C4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45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5E4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73CD8"/>
    <w:pPr>
      <w:contextualSpacing/>
    </w:pPr>
    <w:rPr>
      <w:rFonts w:ascii="Arial" w:eastAsia="Times New Roman" w:hAnsi="Arial" w:cs="Arial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73CD8"/>
    <w:rPr>
      <w:rFonts w:ascii="Arial" w:eastAsia="Times New Roman" w:hAnsi="Arial" w:cs="Arial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361EE"/>
    <w:rPr>
      <w:rFonts w:ascii="Arial" w:eastAsia="Times New Roman" w:hAnsi="Arial" w:cs="Arial"/>
      <w:b/>
      <w:color w:val="002060"/>
      <w:sz w:val="36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F7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7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98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7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98B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3304A8"/>
    <w:rPr>
      <w:rFonts w:ascii="Arial" w:eastAsiaTheme="majorEastAsia" w:hAnsi="Arial" w:cstheme="majorBidi"/>
      <w:b/>
      <w:color w:val="9A0000"/>
      <w:sz w:val="32"/>
      <w:szCs w:val="26"/>
    </w:rPr>
  </w:style>
  <w:style w:type="paragraph" w:styleId="ListParagraph">
    <w:name w:val="List Paragraph"/>
    <w:basedOn w:val="Normal"/>
    <w:uiPriority w:val="34"/>
    <w:qFormat/>
    <w:rsid w:val="00DF7BEC"/>
    <w:pPr>
      <w:ind w:left="720"/>
      <w:contextualSpacing/>
    </w:pPr>
  </w:style>
  <w:style w:type="table" w:styleId="TableGrid">
    <w:name w:val="Table Grid"/>
    <w:basedOn w:val="TableNormal"/>
    <w:uiPriority w:val="39"/>
    <w:rsid w:val="00DF7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D6F43"/>
    <w:rPr>
      <w:rFonts w:ascii="Arial" w:eastAsiaTheme="majorEastAsia" w:hAnsi="Arial" w:cstheme="maj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census.gov/table?q=2022%20disabil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conway@helenkeller.org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>
                <a:solidFill>
                  <a:schemeClr val="tx1"/>
                </a:solidFill>
              </a:rPr>
              <a:t>Dual Sensory loss by Age in the U.S. </a:t>
            </a:r>
          </a:p>
          <a:p>
            <a:pPr>
              <a:defRPr sz="1800">
                <a:solidFill>
                  <a:schemeClr val="tx1"/>
                </a:solidFill>
              </a:defRPr>
            </a:pPr>
            <a:r>
              <a:rPr lang="en-US" sz="1800" baseline="0">
                <a:solidFill>
                  <a:schemeClr val="tx1"/>
                </a:solidFill>
              </a:rPr>
              <a:t> </a:t>
            </a:r>
            <a:r>
              <a:rPr lang="en-US" sz="1800" cap="none" baseline="0">
                <a:solidFill>
                  <a:schemeClr val="tx1"/>
                </a:solidFill>
              </a:rPr>
              <a:t>American Community Survey</a:t>
            </a:r>
            <a:r>
              <a:rPr lang="en-US" sz="1800" baseline="0">
                <a:solidFill>
                  <a:schemeClr val="tx1"/>
                </a:solidFill>
              </a:rPr>
              <a:t> 2022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BAF-4195-AA29-46CFF3B1930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BAF-4195-AA29-46CFF3B1930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BAF-4195-AA29-46CFF3B19303}"/>
              </c:ext>
            </c:extLst>
          </c:dPt>
          <c:dLbls>
            <c:dLbl>
              <c:idx val="0"/>
              <c:layout>
                <c:manualLayout>
                  <c:x val="-8.3744586359053483E-4"/>
                  <c:y val="9.127371326864332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AF-4195-AA29-46CFF3B19303}"/>
                </c:ext>
              </c:extLst>
            </c:dLbl>
            <c:dLbl>
              <c:idx val="1"/>
              <c:layout>
                <c:manualLayout>
                  <c:x val="-7.6819371140038367E-2"/>
                  <c:y val="0.1118678757081929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AF-4195-AA29-46CFF3B19303}"/>
                </c:ext>
              </c:extLst>
            </c:dLbl>
            <c:dLbl>
              <c:idx val="2"/>
              <c:layout>
                <c:manualLayout>
                  <c:x val="0.12756379014054028"/>
                  <c:y val="-0.212459753817240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AF-4195-AA29-46CFF3B193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Age!$B$13:$B$15</c:f>
              <c:strCache>
                <c:ptCount val="3"/>
                <c:pt idx="0">
                  <c:v>Under 18</c:v>
                </c:pt>
                <c:pt idx="1">
                  <c:v>18-54</c:v>
                </c:pt>
                <c:pt idx="2">
                  <c:v>55+</c:v>
                </c:pt>
              </c:strCache>
            </c:strRef>
          </c:cat>
          <c:val>
            <c:numRef>
              <c:f>Age!$C$13:$C$15</c:f>
              <c:numCache>
                <c:formatCode>0.00%</c:formatCode>
                <c:ptCount val="3"/>
                <c:pt idx="0">
                  <c:v>3.5000000000000003E-2</c:v>
                </c:pt>
                <c:pt idx="1">
                  <c:v>0.1744</c:v>
                </c:pt>
                <c:pt idx="2">
                  <c:v>0.79059999999999997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BAF-4195-AA29-46CFF3B1930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Links>
    <vt:vector size="12" baseType="variant">
      <vt:variant>
        <vt:i4>7798872</vt:i4>
      </vt:variant>
      <vt:variant>
        <vt:i4>3</vt:i4>
      </vt:variant>
      <vt:variant>
        <vt:i4>0</vt:i4>
      </vt:variant>
      <vt:variant>
        <vt:i4>5</vt:i4>
      </vt:variant>
      <vt:variant>
        <vt:lpwstr>mailto:mconway@helenkeller.org</vt:lpwstr>
      </vt:variant>
      <vt:variant>
        <vt:lpwstr/>
      </vt:variant>
      <vt:variant>
        <vt:i4>5570581</vt:i4>
      </vt:variant>
      <vt:variant>
        <vt:i4>0</vt:i4>
      </vt:variant>
      <vt:variant>
        <vt:i4>0</vt:i4>
      </vt:variant>
      <vt:variant>
        <vt:i4>5</vt:i4>
      </vt:variant>
      <vt:variant>
        <vt:lpwstr>https://data.census.gov/table?q=2022%20disability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Conway</dc:creator>
  <cp:keywords/>
  <dc:description/>
  <cp:lastModifiedBy>Tara Brown-Ogilvie, PhD, COMS, VRT</cp:lastModifiedBy>
  <cp:revision>128</cp:revision>
  <dcterms:created xsi:type="dcterms:W3CDTF">2024-08-06T14:47:00Z</dcterms:created>
  <dcterms:modified xsi:type="dcterms:W3CDTF">2025-06-04T21:12:00Z</dcterms:modified>
</cp:coreProperties>
</file>